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65C6" w:rsidRDefault="007065C6" w:rsidP="00386A88">
      <w:pPr>
        <w:spacing w:after="0" w:line="240" w:lineRule="auto"/>
        <w:jc w:val="both"/>
        <w:rPr>
          <w:rFonts w:asciiTheme="majorBidi" w:hAnsiTheme="majorBidi" w:cstheme="majorBidi"/>
          <w:b/>
          <w:bCs/>
          <w:sz w:val="28"/>
          <w:szCs w:val="28"/>
        </w:rPr>
      </w:pPr>
      <w:r>
        <w:rPr>
          <w:rFonts w:asciiTheme="majorBidi" w:hAnsiTheme="majorBidi" w:cstheme="majorBidi"/>
          <w:b/>
          <w:bCs/>
          <w:sz w:val="28"/>
          <w:szCs w:val="28"/>
        </w:rPr>
        <w:t>Mandibular central giant cell granuloma, a radiographic diagnostic dilemma: Case report</w:t>
      </w:r>
    </w:p>
    <w:p w:rsidR="007065C6" w:rsidRPr="007065C6" w:rsidRDefault="007065C6" w:rsidP="007065C6">
      <w:pPr>
        <w:spacing w:after="0" w:line="360" w:lineRule="auto"/>
        <w:rPr>
          <w:rFonts w:asciiTheme="majorBidi" w:hAnsiTheme="majorBidi" w:cstheme="majorBidi"/>
          <w:b/>
          <w:bCs/>
          <w:sz w:val="28"/>
          <w:szCs w:val="28"/>
        </w:rPr>
      </w:pPr>
      <w:r w:rsidRPr="007065C6">
        <w:rPr>
          <w:rFonts w:asciiTheme="majorBidi" w:hAnsiTheme="majorBidi" w:cstheme="majorBidi"/>
          <w:b/>
          <w:bCs/>
          <w:sz w:val="28"/>
          <w:szCs w:val="28"/>
        </w:rPr>
        <w:t>Ava Nikbin</w:t>
      </w:r>
      <w:r>
        <w:rPr>
          <w:rFonts w:asciiTheme="majorBidi" w:hAnsiTheme="majorBidi" w:cstheme="majorBidi"/>
          <w:b/>
          <w:bCs/>
          <w:sz w:val="28"/>
          <w:szCs w:val="28"/>
          <w:vertAlign w:val="superscript"/>
        </w:rPr>
        <w:t>1</w:t>
      </w:r>
      <w:r w:rsidRPr="007065C6">
        <w:rPr>
          <w:rFonts w:asciiTheme="majorBidi" w:hAnsiTheme="majorBidi" w:cstheme="majorBidi"/>
          <w:b/>
          <w:bCs/>
          <w:sz w:val="28"/>
          <w:szCs w:val="28"/>
        </w:rPr>
        <w:t xml:space="preserve"> </w:t>
      </w:r>
      <w:r>
        <w:rPr>
          <w:rFonts w:asciiTheme="majorBidi" w:hAnsiTheme="majorBidi" w:cstheme="majorBidi"/>
          <w:b/>
          <w:bCs/>
          <w:sz w:val="28"/>
          <w:szCs w:val="28"/>
        </w:rPr>
        <w:t xml:space="preserve">, </w:t>
      </w:r>
      <w:r w:rsidRPr="007065C6">
        <w:rPr>
          <w:rFonts w:asciiTheme="majorBidi" w:hAnsiTheme="majorBidi" w:cstheme="majorBidi"/>
          <w:sz w:val="28"/>
          <w:szCs w:val="28"/>
        </w:rPr>
        <w:t>Somayeh Nemati</w:t>
      </w:r>
      <w:r>
        <w:rPr>
          <w:rFonts w:asciiTheme="majorBidi" w:hAnsiTheme="majorBidi" w:cstheme="majorBidi"/>
          <w:sz w:val="28"/>
          <w:szCs w:val="28"/>
          <w:vertAlign w:val="superscript"/>
        </w:rPr>
        <w:t>2</w:t>
      </w:r>
      <w:r w:rsidRPr="007065C6">
        <w:rPr>
          <w:rFonts w:asciiTheme="majorBidi" w:hAnsiTheme="majorBidi" w:cstheme="majorBidi"/>
          <w:b/>
          <w:bCs/>
          <w:sz w:val="28"/>
          <w:szCs w:val="28"/>
        </w:rPr>
        <w:t xml:space="preserve"> </w:t>
      </w:r>
    </w:p>
    <w:p w:rsidR="007065C6" w:rsidRPr="007065C6" w:rsidRDefault="007065C6" w:rsidP="007065C6">
      <w:pPr>
        <w:spacing w:after="0" w:line="360" w:lineRule="auto"/>
        <w:rPr>
          <w:rFonts w:asciiTheme="majorBidi" w:hAnsiTheme="majorBidi" w:cstheme="majorBidi"/>
          <w:b/>
          <w:bCs/>
          <w:sz w:val="24"/>
          <w:szCs w:val="24"/>
        </w:rPr>
      </w:pPr>
      <w:r w:rsidRPr="007065C6">
        <w:rPr>
          <w:rFonts w:asciiTheme="majorBidi" w:hAnsiTheme="majorBidi" w:cstheme="majorBidi"/>
          <w:b/>
          <w:bCs/>
          <w:sz w:val="28"/>
          <w:szCs w:val="28"/>
        </w:rPr>
        <w:t>1-</w:t>
      </w:r>
      <w:r w:rsidRPr="007065C6">
        <w:rPr>
          <w:rFonts w:asciiTheme="majorBidi" w:hAnsiTheme="majorBidi" w:cstheme="majorBidi"/>
          <w:b/>
          <w:bCs/>
          <w:sz w:val="24"/>
          <w:szCs w:val="24"/>
        </w:rPr>
        <w:t>Postgraduated Student ,Department of Oral and Maxillofacial Radiology, Faculty of Dentistry, Guilan University of Medical Sciences, Rasht, Iran.</w:t>
      </w:r>
    </w:p>
    <w:p w:rsidR="007065C6" w:rsidRDefault="007065C6" w:rsidP="007065C6">
      <w:pPr>
        <w:spacing w:after="0" w:line="360" w:lineRule="auto"/>
        <w:rPr>
          <w:rFonts w:asciiTheme="majorBidi" w:hAnsiTheme="majorBidi" w:cstheme="majorBidi"/>
          <w:sz w:val="24"/>
          <w:szCs w:val="24"/>
        </w:rPr>
      </w:pPr>
      <w:r>
        <w:rPr>
          <w:rFonts w:asciiTheme="majorBidi" w:hAnsiTheme="majorBidi" w:cstheme="majorBidi"/>
          <w:sz w:val="24"/>
          <w:szCs w:val="24"/>
        </w:rPr>
        <w:t>2-Assistant Professor of Dentomaxillofacial Radiology Department, Dental Faculty of Guilan University of Medical sciences, Rasht, Iran.</w:t>
      </w:r>
    </w:p>
    <w:p w:rsidR="007065C6" w:rsidRDefault="007065C6" w:rsidP="00386A88">
      <w:pPr>
        <w:spacing w:after="0" w:line="240" w:lineRule="auto"/>
        <w:jc w:val="both"/>
        <w:rPr>
          <w:rFonts w:ascii="Times New Roman" w:hAnsi="Times New Roman" w:cs="Times New Roman"/>
          <w:b/>
          <w:bCs/>
          <w:sz w:val="24"/>
          <w:szCs w:val="24"/>
        </w:rPr>
      </w:pPr>
    </w:p>
    <w:p w:rsidR="000141A6" w:rsidRPr="00386A88" w:rsidRDefault="000141A6" w:rsidP="00386A88">
      <w:pPr>
        <w:spacing w:after="0" w:line="240" w:lineRule="auto"/>
        <w:jc w:val="both"/>
        <w:rPr>
          <w:rFonts w:ascii="Times New Roman" w:hAnsi="Times New Roman" w:cs="Times New Roman"/>
          <w:b/>
          <w:bCs/>
          <w:sz w:val="24"/>
          <w:szCs w:val="24"/>
        </w:rPr>
      </w:pPr>
      <w:r w:rsidRPr="00386A88">
        <w:rPr>
          <w:rFonts w:ascii="Times New Roman" w:hAnsi="Times New Roman" w:cs="Times New Roman"/>
          <w:b/>
          <w:bCs/>
          <w:sz w:val="24"/>
          <w:szCs w:val="24"/>
        </w:rPr>
        <w:t>Abstract</w:t>
      </w:r>
    </w:p>
    <w:p w:rsidR="000141A6" w:rsidRDefault="000141A6" w:rsidP="00386A88">
      <w:pPr>
        <w:spacing w:after="0" w:line="240" w:lineRule="auto"/>
        <w:jc w:val="both"/>
        <w:rPr>
          <w:rFonts w:ascii="Times New Roman" w:hAnsi="Times New Roman" w:cs="Times New Roman"/>
          <w:sz w:val="24"/>
          <w:szCs w:val="24"/>
        </w:rPr>
      </w:pPr>
      <w:r w:rsidRPr="00386A88">
        <w:rPr>
          <w:rFonts w:ascii="Times New Roman" w:hAnsi="Times New Roman" w:cs="Times New Roman"/>
          <w:sz w:val="24"/>
          <w:szCs w:val="24"/>
        </w:rPr>
        <w:t>Central giant cell granuloma</w:t>
      </w:r>
      <w:r w:rsidR="00224CEC">
        <w:rPr>
          <w:rFonts w:ascii="Times New Roman" w:hAnsi="Times New Roman" w:cs="Times New Roman"/>
          <w:sz w:val="24"/>
          <w:szCs w:val="24"/>
        </w:rPr>
        <w:t xml:space="preserve"> </w:t>
      </w:r>
      <w:r w:rsidR="00A65DE5" w:rsidRPr="00386A88">
        <w:rPr>
          <w:rFonts w:ascii="Times New Roman" w:hAnsi="Times New Roman" w:cs="Times New Roman"/>
          <w:sz w:val="24"/>
          <w:szCs w:val="24"/>
        </w:rPr>
        <w:t>(CGCG)</w:t>
      </w:r>
      <w:r w:rsidRPr="00386A88">
        <w:rPr>
          <w:rFonts w:ascii="Times New Roman" w:hAnsi="Times New Roman" w:cs="Times New Roman"/>
          <w:sz w:val="24"/>
          <w:szCs w:val="24"/>
        </w:rPr>
        <w:t xml:space="preserve"> is </w:t>
      </w:r>
      <w:r w:rsidR="00224CEC">
        <w:rPr>
          <w:rFonts w:ascii="Times New Roman" w:hAnsi="Times New Roman" w:cs="Times New Roman"/>
          <w:sz w:val="24"/>
          <w:szCs w:val="24"/>
        </w:rPr>
        <w:t>a rare</w:t>
      </w:r>
      <w:r w:rsidRPr="00386A88">
        <w:rPr>
          <w:rFonts w:ascii="Times New Roman" w:hAnsi="Times New Roman" w:cs="Times New Roman"/>
          <w:sz w:val="24"/>
          <w:szCs w:val="24"/>
        </w:rPr>
        <w:t xml:space="preserve"> benign intraosseous lesion</w:t>
      </w:r>
      <w:r w:rsidR="00224CEC">
        <w:rPr>
          <w:rFonts w:ascii="Times New Roman" w:hAnsi="Times New Roman" w:cs="Times New Roman"/>
          <w:sz w:val="24"/>
          <w:szCs w:val="24"/>
        </w:rPr>
        <w:t xml:space="preserve"> </w:t>
      </w:r>
      <w:r w:rsidRPr="00386A88">
        <w:rPr>
          <w:rFonts w:ascii="Times New Roman" w:hAnsi="Times New Roman" w:cs="Times New Roman"/>
          <w:sz w:val="24"/>
          <w:szCs w:val="24"/>
        </w:rPr>
        <w:t>with variable aggressiveness</w:t>
      </w:r>
      <w:r w:rsidR="00224CEC">
        <w:rPr>
          <w:rFonts w:ascii="Times New Roman" w:hAnsi="Times New Roman" w:cs="Times New Roman"/>
          <w:sz w:val="24"/>
          <w:szCs w:val="24"/>
        </w:rPr>
        <w:t xml:space="preserve"> </w:t>
      </w:r>
      <w:r w:rsidRPr="00386A88">
        <w:rPr>
          <w:rFonts w:ascii="Times New Roman" w:hAnsi="Times New Roman" w:cs="Times New Roman"/>
          <w:sz w:val="24"/>
          <w:szCs w:val="24"/>
        </w:rPr>
        <w:t>(non-aggressive to aggressive).</w:t>
      </w:r>
      <w:r w:rsidR="00224CEC">
        <w:rPr>
          <w:rFonts w:ascii="Times New Roman" w:hAnsi="Times New Roman" w:cs="Times New Roman"/>
          <w:sz w:val="24"/>
          <w:szCs w:val="24"/>
        </w:rPr>
        <w:t xml:space="preserve"> </w:t>
      </w:r>
      <w:r w:rsidR="00705226" w:rsidRPr="00386A88">
        <w:rPr>
          <w:rFonts w:ascii="Times New Roman" w:hAnsi="Times New Roman" w:cs="Times New Roman"/>
          <w:sz w:val="24"/>
          <w:szCs w:val="24"/>
        </w:rPr>
        <w:t>T</w:t>
      </w:r>
      <w:r w:rsidRPr="00386A88">
        <w:rPr>
          <w:rFonts w:ascii="Times New Roman" w:hAnsi="Times New Roman" w:cs="Times New Roman"/>
          <w:sz w:val="24"/>
          <w:szCs w:val="24"/>
        </w:rPr>
        <w:t xml:space="preserve">his lesion </w:t>
      </w:r>
      <w:r w:rsidR="00224CEC">
        <w:rPr>
          <w:rFonts w:ascii="Times New Roman" w:hAnsi="Times New Roman" w:cs="Times New Roman"/>
          <w:sz w:val="24"/>
          <w:szCs w:val="24"/>
        </w:rPr>
        <w:t>might</w:t>
      </w:r>
      <w:r w:rsidRPr="00386A88">
        <w:rPr>
          <w:rFonts w:ascii="Times New Roman" w:hAnsi="Times New Roman" w:cs="Times New Roman"/>
          <w:sz w:val="24"/>
          <w:szCs w:val="24"/>
        </w:rPr>
        <w:t xml:space="preserve"> be</w:t>
      </w:r>
      <w:r w:rsidR="00224CEC">
        <w:rPr>
          <w:rFonts w:ascii="Times New Roman" w:hAnsi="Times New Roman" w:cs="Times New Roman"/>
          <w:sz w:val="24"/>
          <w:szCs w:val="24"/>
        </w:rPr>
        <w:t xml:space="preserve"> </w:t>
      </w:r>
      <w:r w:rsidRPr="00386A88">
        <w:rPr>
          <w:rFonts w:ascii="Times New Roman" w:hAnsi="Times New Roman" w:cs="Times New Roman"/>
          <w:sz w:val="24"/>
          <w:szCs w:val="24"/>
        </w:rPr>
        <w:t>just a</w:t>
      </w:r>
      <w:r w:rsidR="00224CEC">
        <w:rPr>
          <w:rFonts w:ascii="Times New Roman" w:hAnsi="Times New Roman" w:cs="Times New Roman"/>
          <w:sz w:val="24"/>
          <w:szCs w:val="24"/>
        </w:rPr>
        <w:t>n</w:t>
      </w:r>
      <w:r w:rsidRPr="00386A88">
        <w:rPr>
          <w:rFonts w:ascii="Times New Roman" w:hAnsi="Times New Roman" w:cs="Times New Roman"/>
          <w:sz w:val="24"/>
          <w:szCs w:val="24"/>
        </w:rPr>
        <w:t xml:space="preserve"> incidental finding </w:t>
      </w:r>
      <w:r w:rsidR="00224CEC">
        <w:rPr>
          <w:rFonts w:ascii="Times New Roman" w:hAnsi="Times New Roman" w:cs="Times New Roman"/>
          <w:sz w:val="24"/>
          <w:szCs w:val="24"/>
        </w:rPr>
        <w:t>during</w:t>
      </w:r>
      <w:r w:rsidRPr="00386A88">
        <w:rPr>
          <w:rFonts w:ascii="Times New Roman" w:hAnsi="Times New Roman" w:cs="Times New Roman"/>
          <w:sz w:val="24"/>
          <w:szCs w:val="24"/>
        </w:rPr>
        <w:t xml:space="preserve"> routine radiography without any symptom</w:t>
      </w:r>
      <w:r w:rsidR="00224CEC">
        <w:rPr>
          <w:rFonts w:ascii="Times New Roman" w:hAnsi="Times New Roman" w:cs="Times New Roman"/>
          <w:sz w:val="24"/>
          <w:szCs w:val="24"/>
        </w:rPr>
        <w:t>,</w:t>
      </w:r>
      <w:r w:rsidRPr="00386A88">
        <w:rPr>
          <w:rFonts w:ascii="Times New Roman" w:hAnsi="Times New Roman" w:cs="Times New Roman"/>
          <w:sz w:val="24"/>
          <w:szCs w:val="24"/>
        </w:rPr>
        <w:t xml:space="preserve"> </w:t>
      </w:r>
      <w:r w:rsidR="00224CEC">
        <w:rPr>
          <w:rFonts w:ascii="Times New Roman" w:hAnsi="Times New Roman" w:cs="Times New Roman"/>
          <w:sz w:val="24"/>
          <w:szCs w:val="24"/>
        </w:rPr>
        <w:t>which</w:t>
      </w:r>
      <w:r w:rsidRPr="00386A88">
        <w:rPr>
          <w:rFonts w:ascii="Times New Roman" w:hAnsi="Times New Roman" w:cs="Times New Roman"/>
          <w:sz w:val="24"/>
          <w:szCs w:val="24"/>
        </w:rPr>
        <w:t xml:space="preserve"> is more common </w:t>
      </w:r>
      <w:r w:rsidR="00224CEC">
        <w:rPr>
          <w:rFonts w:ascii="Times New Roman" w:hAnsi="Times New Roman" w:cs="Times New Roman"/>
          <w:sz w:val="24"/>
          <w:szCs w:val="24"/>
        </w:rPr>
        <w:t>as a</w:t>
      </w:r>
      <w:r w:rsidRPr="00386A88">
        <w:rPr>
          <w:rFonts w:ascii="Times New Roman" w:hAnsi="Times New Roman" w:cs="Times New Roman"/>
          <w:sz w:val="24"/>
          <w:szCs w:val="24"/>
        </w:rPr>
        <w:t xml:space="preserve"> small lesion. Sometimes</w:t>
      </w:r>
      <w:r w:rsidR="00224CEC" w:rsidRPr="00386A88">
        <w:rPr>
          <w:rFonts w:ascii="Times New Roman" w:hAnsi="Times New Roman" w:cs="Times New Roman"/>
          <w:sz w:val="24"/>
          <w:szCs w:val="24"/>
        </w:rPr>
        <w:t>,</w:t>
      </w:r>
      <w:r w:rsidRPr="00386A88">
        <w:rPr>
          <w:rFonts w:ascii="Times New Roman" w:hAnsi="Times New Roman" w:cs="Times New Roman"/>
          <w:sz w:val="24"/>
          <w:szCs w:val="24"/>
        </w:rPr>
        <w:t xml:space="preserve"> </w:t>
      </w:r>
      <w:r w:rsidR="00224CEC" w:rsidRPr="00386A88">
        <w:rPr>
          <w:rFonts w:ascii="Times New Roman" w:hAnsi="Times New Roman" w:cs="Times New Roman"/>
          <w:sz w:val="24"/>
          <w:szCs w:val="24"/>
        </w:rPr>
        <w:t>especially</w:t>
      </w:r>
      <w:r w:rsidRPr="00386A88">
        <w:rPr>
          <w:rFonts w:ascii="Times New Roman" w:hAnsi="Times New Roman" w:cs="Times New Roman"/>
          <w:sz w:val="24"/>
          <w:szCs w:val="24"/>
        </w:rPr>
        <w:t xml:space="preserve"> in large aggressive lesion</w:t>
      </w:r>
      <w:r w:rsidR="00224CEC" w:rsidRPr="00386A88">
        <w:rPr>
          <w:rFonts w:ascii="Times New Roman" w:hAnsi="Times New Roman" w:cs="Times New Roman"/>
          <w:sz w:val="24"/>
          <w:szCs w:val="24"/>
        </w:rPr>
        <w:t>s</w:t>
      </w:r>
      <w:r w:rsidRPr="00386A88">
        <w:rPr>
          <w:rFonts w:ascii="Times New Roman" w:hAnsi="Times New Roman" w:cs="Times New Roman"/>
          <w:sz w:val="24"/>
          <w:szCs w:val="24"/>
        </w:rPr>
        <w:t xml:space="preserve">, </w:t>
      </w:r>
      <w:r w:rsidR="008F2B00">
        <w:rPr>
          <w:rFonts w:ascii="Times New Roman" w:hAnsi="Times New Roman" w:cs="Times New Roman"/>
          <w:sz w:val="24"/>
          <w:szCs w:val="24"/>
        </w:rPr>
        <w:t xml:space="preserve">a </w:t>
      </w:r>
      <w:r w:rsidRPr="00386A88">
        <w:rPr>
          <w:rFonts w:ascii="Times New Roman" w:hAnsi="Times New Roman" w:cs="Times New Roman"/>
          <w:sz w:val="24"/>
          <w:szCs w:val="24"/>
        </w:rPr>
        <w:t xml:space="preserve">painless swelling and symptomatic lesion </w:t>
      </w:r>
      <w:r w:rsidR="008F2B00">
        <w:rPr>
          <w:rFonts w:ascii="Times New Roman" w:hAnsi="Times New Roman" w:cs="Times New Roman"/>
          <w:sz w:val="24"/>
          <w:szCs w:val="24"/>
        </w:rPr>
        <w:t>might</w:t>
      </w:r>
      <w:r w:rsidRPr="00386A88">
        <w:rPr>
          <w:rFonts w:ascii="Times New Roman" w:hAnsi="Times New Roman" w:cs="Times New Roman"/>
          <w:sz w:val="24"/>
          <w:szCs w:val="24"/>
        </w:rPr>
        <w:t xml:space="preserve"> be found. In this paper, </w:t>
      </w:r>
      <w:r w:rsidR="008F2B00">
        <w:rPr>
          <w:rFonts w:ascii="Times New Roman" w:hAnsi="Times New Roman" w:cs="Times New Roman"/>
          <w:sz w:val="24"/>
          <w:szCs w:val="24"/>
        </w:rPr>
        <w:t xml:space="preserve">the case of a </w:t>
      </w:r>
      <w:r w:rsidRPr="00386A88">
        <w:rPr>
          <w:rFonts w:ascii="Times New Roman" w:hAnsi="Times New Roman" w:cs="Times New Roman"/>
          <w:sz w:val="24"/>
          <w:szCs w:val="24"/>
        </w:rPr>
        <w:t>17</w:t>
      </w:r>
      <w:r w:rsidR="008F2B00">
        <w:rPr>
          <w:rFonts w:ascii="Times New Roman" w:hAnsi="Times New Roman" w:cs="Times New Roman"/>
          <w:sz w:val="24"/>
          <w:szCs w:val="24"/>
        </w:rPr>
        <w:t>-</w:t>
      </w:r>
      <w:r w:rsidRPr="00386A88">
        <w:rPr>
          <w:rFonts w:ascii="Times New Roman" w:hAnsi="Times New Roman" w:cs="Times New Roman"/>
          <w:sz w:val="24"/>
          <w:szCs w:val="24"/>
        </w:rPr>
        <w:t>year</w:t>
      </w:r>
      <w:r w:rsidR="008F2B00">
        <w:rPr>
          <w:rFonts w:ascii="Times New Roman" w:hAnsi="Times New Roman" w:cs="Times New Roman"/>
          <w:sz w:val="24"/>
          <w:szCs w:val="24"/>
        </w:rPr>
        <w:t>-</w:t>
      </w:r>
      <w:r w:rsidRPr="00386A88">
        <w:rPr>
          <w:rFonts w:ascii="Times New Roman" w:hAnsi="Times New Roman" w:cs="Times New Roman"/>
          <w:sz w:val="24"/>
          <w:szCs w:val="24"/>
        </w:rPr>
        <w:t xml:space="preserve">old boy with </w:t>
      </w:r>
      <w:r w:rsidR="008F2B00">
        <w:rPr>
          <w:rFonts w:ascii="Times New Roman" w:hAnsi="Times New Roman" w:cs="Times New Roman"/>
          <w:sz w:val="24"/>
          <w:szCs w:val="24"/>
        </w:rPr>
        <w:t xml:space="preserve">a </w:t>
      </w:r>
      <w:r w:rsidRPr="00386A88">
        <w:rPr>
          <w:rFonts w:ascii="Times New Roman" w:hAnsi="Times New Roman" w:cs="Times New Roman"/>
          <w:sz w:val="24"/>
          <w:szCs w:val="24"/>
        </w:rPr>
        <w:t>chief complain</w:t>
      </w:r>
      <w:r w:rsidR="008F2B00">
        <w:rPr>
          <w:rFonts w:ascii="Times New Roman" w:hAnsi="Times New Roman" w:cs="Times New Roman"/>
          <w:sz w:val="24"/>
          <w:szCs w:val="24"/>
        </w:rPr>
        <w:t>t</w:t>
      </w:r>
      <w:r w:rsidRPr="00386A88">
        <w:rPr>
          <w:rFonts w:ascii="Times New Roman" w:hAnsi="Times New Roman" w:cs="Times New Roman"/>
          <w:sz w:val="24"/>
          <w:szCs w:val="24"/>
        </w:rPr>
        <w:t xml:space="preserve"> of </w:t>
      </w:r>
      <w:r w:rsidR="008F2B00">
        <w:rPr>
          <w:rFonts w:ascii="Times New Roman" w:hAnsi="Times New Roman" w:cs="Times New Roman"/>
          <w:sz w:val="24"/>
          <w:szCs w:val="24"/>
        </w:rPr>
        <w:t xml:space="preserve">a </w:t>
      </w:r>
      <w:r w:rsidRPr="00386A88">
        <w:rPr>
          <w:rFonts w:ascii="Times New Roman" w:hAnsi="Times New Roman" w:cs="Times New Roman"/>
          <w:sz w:val="24"/>
          <w:szCs w:val="24"/>
        </w:rPr>
        <w:t xml:space="preserve">painful swelling </w:t>
      </w:r>
      <w:r w:rsidR="008F2B00">
        <w:rPr>
          <w:rFonts w:ascii="Times New Roman" w:hAnsi="Times New Roman" w:cs="Times New Roman"/>
          <w:sz w:val="24"/>
          <w:szCs w:val="24"/>
        </w:rPr>
        <w:t>o</w:t>
      </w:r>
      <w:r w:rsidRPr="00386A88">
        <w:rPr>
          <w:rFonts w:ascii="Times New Roman" w:hAnsi="Times New Roman" w:cs="Times New Roman"/>
          <w:sz w:val="24"/>
          <w:szCs w:val="24"/>
        </w:rPr>
        <w:t xml:space="preserve">n the right side of </w:t>
      </w:r>
      <w:r w:rsidR="008F2B00">
        <w:rPr>
          <w:rFonts w:ascii="Times New Roman" w:hAnsi="Times New Roman" w:cs="Times New Roman"/>
          <w:sz w:val="24"/>
          <w:szCs w:val="24"/>
        </w:rPr>
        <w:t xml:space="preserve">the </w:t>
      </w:r>
      <w:r w:rsidRPr="00386A88">
        <w:rPr>
          <w:rFonts w:ascii="Times New Roman" w:hAnsi="Times New Roman" w:cs="Times New Roman"/>
          <w:sz w:val="24"/>
          <w:szCs w:val="24"/>
        </w:rPr>
        <w:t xml:space="preserve">mandible </w:t>
      </w:r>
      <w:r w:rsidR="008F2B00">
        <w:rPr>
          <w:rFonts w:ascii="Times New Roman" w:hAnsi="Times New Roman" w:cs="Times New Roman"/>
          <w:sz w:val="24"/>
          <w:szCs w:val="24"/>
        </w:rPr>
        <w:t>is</w:t>
      </w:r>
      <w:r w:rsidRPr="00386A88">
        <w:rPr>
          <w:rFonts w:ascii="Times New Roman" w:hAnsi="Times New Roman" w:cs="Times New Roman"/>
          <w:sz w:val="24"/>
          <w:szCs w:val="24"/>
        </w:rPr>
        <w:t xml:space="preserve"> presented</w:t>
      </w:r>
      <w:r w:rsidR="00A65DE5" w:rsidRPr="00386A88">
        <w:rPr>
          <w:rFonts w:ascii="Times New Roman" w:hAnsi="Times New Roman" w:cs="Times New Roman"/>
          <w:sz w:val="24"/>
          <w:szCs w:val="24"/>
        </w:rPr>
        <w:t xml:space="preserve">. </w:t>
      </w:r>
      <w:r w:rsidR="008F2B00">
        <w:rPr>
          <w:rFonts w:ascii="Times New Roman" w:hAnsi="Times New Roman" w:cs="Times New Roman"/>
          <w:sz w:val="24"/>
          <w:szCs w:val="24"/>
        </w:rPr>
        <w:t>The p</w:t>
      </w:r>
      <w:r w:rsidR="00A65DE5" w:rsidRPr="00386A88">
        <w:rPr>
          <w:rFonts w:ascii="Times New Roman" w:hAnsi="Times New Roman" w:cs="Times New Roman"/>
          <w:sz w:val="24"/>
          <w:szCs w:val="24"/>
        </w:rPr>
        <w:t xml:space="preserve">atient referred to </w:t>
      </w:r>
      <w:r w:rsidR="008F2B00">
        <w:rPr>
          <w:rFonts w:ascii="Times New Roman" w:hAnsi="Times New Roman" w:cs="Times New Roman"/>
          <w:sz w:val="24"/>
          <w:szCs w:val="24"/>
        </w:rPr>
        <w:t xml:space="preserve">a </w:t>
      </w:r>
      <w:r w:rsidR="00A65DE5" w:rsidRPr="00386A88">
        <w:rPr>
          <w:rFonts w:ascii="Times New Roman" w:hAnsi="Times New Roman" w:cs="Times New Roman"/>
          <w:sz w:val="24"/>
          <w:szCs w:val="24"/>
        </w:rPr>
        <w:t>radiolog</w:t>
      </w:r>
      <w:r w:rsidR="008F2B00">
        <w:rPr>
          <w:rFonts w:ascii="Times New Roman" w:hAnsi="Times New Roman" w:cs="Times New Roman"/>
          <w:sz w:val="24"/>
          <w:szCs w:val="24"/>
        </w:rPr>
        <w:t>y</w:t>
      </w:r>
      <w:r w:rsidR="00A65DE5" w:rsidRPr="00386A88">
        <w:rPr>
          <w:rFonts w:ascii="Times New Roman" w:hAnsi="Times New Roman" w:cs="Times New Roman"/>
          <w:sz w:val="24"/>
          <w:szCs w:val="24"/>
        </w:rPr>
        <w:t xml:space="preserve"> center of </w:t>
      </w:r>
      <w:r w:rsidR="00705226" w:rsidRPr="00386A88">
        <w:rPr>
          <w:rFonts w:ascii="Times New Roman" w:hAnsi="Times New Roman" w:cs="Times New Roman"/>
          <w:sz w:val="24"/>
          <w:szCs w:val="24"/>
        </w:rPr>
        <w:t>G</w:t>
      </w:r>
      <w:r w:rsidR="00A65DE5" w:rsidRPr="00386A88">
        <w:rPr>
          <w:rFonts w:ascii="Times New Roman" w:hAnsi="Times New Roman" w:cs="Times New Roman"/>
          <w:sz w:val="24"/>
          <w:szCs w:val="24"/>
        </w:rPr>
        <w:t xml:space="preserve">uilan </w:t>
      </w:r>
      <w:r w:rsidR="008F2B00">
        <w:rPr>
          <w:rFonts w:ascii="Times New Roman" w:hAnsi="Times New Roman" w:cs="Times New Roman"/>
          <w:sz w:val="24"/>
          <w:szCs w:val="24"/>
        </w:rPr>
        <w:t>U</w:t>
      </w:r>
      <w:r w:rsidR="00A65DE5" w:rsidRPr="00386A88">
        <w:rPr>
          <w:rFonts w:ascii="Times New Roman" w:hAnsi="Times New Roman" w:cs="Times New Roman"/>
          <w:sz w:val="24"/>
          <w:szCs w:val="24"/>
        </w:rPr>
        <w:t xml:space="preserve">niversity of </w:t>
      </w:r>
      <w:r w:rsidR="008F2B00">
        <w:rPr>
          <w:rFonts w:ascii="Times New Roman" w:hAnsi="Times New Roman" w:cs="Times New Roman"/>
          <w:sz w:val="24"/>
          <w:szCs w:val="24"/>
        </w:rPr>
        <w:t>M</w:t>
      </w:r>
      <w:r w:rsidR="00A65DE5" w:rsidRPr="00386A88">
        <w:rPr>
          <w:rFonts w:ascii="Times New Roman" w:hAnsi="Times New Roman" w:cs="Times New Roman"/>
          <w:sz w:val="24"/>
          <w:szCs w:val="24"/>
        </w:rPr>
        <w:t xml:space="preserve">edical </w:t>
      </w:r>
      <w:r w:rsidR="008F2B00">
        <w:rPr>
          <w:rFonts w:ascii="Times New Roman" w:hAnsi="Times New Roman" w:cs="Times New Roman"/>
          <w:sz w:val="24"/>
          <w:szCs w:val="24"/>
        </w:rPr>
        <w:t>S</w:t>
      </w:r>
      <w:r w:rsidR="00A65DE5" w:rsidRPr="00386A88">
        <w:rPr>
          <w:rFonts w:ascii="Times New Roman" w:hAnsi="Times New Roman" w:cs="Times New Roman"/>
          <w:sz w:val="24"/>
          <w:szCs w:val="24"/>
        </w:rPr>
        <w:t>ciences. Radiologic examination</w:t>
      </w:r>
      <w:r w:rsidR="00705226" w:rsidRPr="00386A88">
        <w:rPr>
          <w:rFonts w:ascii="Times New Roman" w:hAnsi="Times New Roman" w:cs="Times New Roman"/>
          <w:sz w:val="24"/>
          <w:szCs w:val="24"/>
        </w:rPr>
        <w:t>s</w:t>
      </w:r>
      <w:r w:rsidR="008F2B00">
        <w:rPr>
          <w:rFonts w:ascii="Times New Roman" w:hAnsi="Times New Roman" w:cs="Times New Roman"/>
          <w:sz w:val="24"/>
          <w:szCs w:val="24"/>
        </w:rPr>
        <w:t xml:space="preserve"> </w:t>
      </w:r>
      <w:r w:rsidR="00A65DE5" w:rsidRPr="00386A88">
        <w:rPr>
          <w:rFonts w:ascii="Times New Roman" w:hAnsi="Times New Roman" w:cs="Times New Roman"/>
          <w:sz w:val="24"/>
          <w:szCs w:val="24"/>
        </w:rPr>
        <w:t>(CBCT, occlusal</w:t>
      </w:r>
      <w:r w:rsidR="008F2B00">
        <w:rPr>
          <w:rFonts w:ascii="Times New Roman" w:hAnsi="Times New Roman" w:cs="Times New Roman"/>
          <w:sz w:val="24"/>
          <w:szCs w:val="24"/>
        </w:rPr>
        <w:t xml:space="preserve"> and</w:t>
      </w:r>
      <w:r w:rsidR="00A65DE5" w:rsidRPr="00386A88">
        <w:rPr>
          <w:rFonts w:ascii="Times New Roman" w:hAnsi="Times New Roman" w:cs="Times New Roman"/>
          <w:sz w:val="24"/>
          <w:szCs w:val="24"/>
        </w:rPr>
        <w:t xml:space="preserve"> panoramic views) reveal</w:t>
      </w:r>
      <w:r w:rsidR="00705226" w:rsidRPr="00386A88">
        <w:rPr>
          <w:rFonts w:ascii="Times New Roman" w:hAnsi="Times New Roman" w:cs="Times New Roman"/>
          <w:sz w:val="24"/>
          <w:szCs w:val="24"/>
        </w:rPr>
        <w:t>ed</w:t>
      </w:r>
      <w:r w:rsidR="00A65DE5" w:rsidRPr="00386A88">
        <w:rPr>
          <w:rFonts w:ascii="Times New Roman" w:hAnsi="Times New Roman" w:cs="Times New Roman"/>
          <w:sz w:val="24"/>
          <w:szCs w:val="24"/>
        </w:rPr>
        <w:t xml:space="preserve"> </w:t>
      </w:r>
      <w:r w:rsidR="008F2B00">
        <w:rPr>
          <w:rFonts w:ascii="Times New Roman" w:hAnsi="Times New Roman" w:cs="Times New Roman"/>
          <w:sz w:val="24"/>
          <w:szCs w:val="24"/>
        </w:rPr>
        <w:t xml:space="preserve">a </w:t>
      </w:r>
      <w:r w:rsidR="00A65DE5" w:rsidRPr="00386A88">
        <w:rPr>
          <w:rFonts w:ascii="Times New Roman" w:hAnsi="Times New Roman" w:cs="Times New Roman"/>
          <w:sz w:val="24"/>
          <w:szCs w:val="24"/>
        </w:rPr>
        <w:t xml:space="preserve">large lesion with variable aggressive nature in different </w:t>
      </w:r>
      <w:r w:rsidR="008F2B00">
        <w:rPr>
          <w:rFonts w:ascii="Times New Roman" w:hAnsi="Times New Roman" w:cs="Times New Roman"/>
          <w:sz w:val="24"/>
          <w:szCs w:val="24"/>
        </w:rPr>
        <w:t>areas</w:t>
      </w:r>
      <w:r w:rsidR="00A65DE5" w:rsidRPr="00386A88">
        <w:rPr>
          <w:rFonts w:ascii="Times New Roman" w:hAnsi="Times New Roman" w:cs="Times New Roman"/>
          <w:sz w:val="24"/>
          <w:szCs w:val="24"/>
        </w:rPr>
        <w:t xml:space="preserve"> of it</w:t>
      </w:r>
      <w:r w:rsidR="008F2B00">
        <w:rPr>
          <w:rFonts w:ascii="Times New Roman" w:hAnsi="Times New Roman" w:cs="Times New Roman"/>
          <w:sz w:val="24"/>
          <w:szCs w:val="24"/>
        </w:rPr>
        <w:t xml:space="preserve"> </w:t>
      </w:r>
      <w:r w:rsidR="00A65DE5" w:rsidRPr="00386A88">
        <w:rPr>
          <w:rFonts w:ascii="Times New Roman" w:hAnsi="Times New Roman" w:cs="Times New Roman"/>
          <w:sz w:val="24"/>
          <w:szCs w:val="24"/>
        </w:rPr>
        <w:t>(most part</w:t>
      </w:r>
      <w:r w:rsidR="008F2B00">
        <w:rPr>
          <w:rFonts w:ascii="Times New Roman" w:hAnsi="Times New Roman" w:cs="Times New Roman"/>
          <w:sz w:val="24"/>
          <w:szCs w:val="24"/>
        </w:rPr>
        <w:t>s</w:t>
      </w:r>
      <w:r w:rsidR="00A65DE5" w:rsidRPr="00386A88">
        <w:rPr>
          <w:rFonts w:ascii="Times New Roman" w:hAnsi="Times New Roman" w:cs="Times New Roman"/>
          <w:sz w:val="24"/>
          <w:szCs w:val="24"/>
        </w:rPr>
        <w:t xml:space="preserve"> of </w:t>
      </w:r>
      <w:r w:rsidR="008F2B00">
        <w:rPr>
          <w:rFonts w:ascii="Times New Roman" w:hAnsi="Times New Roman" w:cs="Times New Roman"/>
          <w:sz w:val="24"/>
          <w:szCs w:val="24"/>
        </w:rPr>
        <w:t xml:space="preserve">the </w:t>
      </w:r>
      <w:r w:rsidR="00A65DE5" w:rsidRPr="00386A88">
        <w:rPr>
          <w:rFonts w:ascii="Times New Roman" w:hAnsi="Times New Roman" w:cs="Times New Roman"/>
          <w:sz w:val="24"/>
          <w:szCs w:val="24"/>
        </w:rPr>
        <w:t xml:space="preserve">detected </w:t>
      </w:r>
      <w:r w:rsidR="008F2B00">
        <w:rPr>
          <w:rFonts w:ascii="Times New Roman" w:hAnsi="Times New Roman" w:cs="Times New Roman"/>
          <w:sz w:val="24"/>
          <w:szCs w:val="24"/>
        </w:rPr>
        <w:t>exhibited a</w:t>
      </w:r>
      <w:r w:rsidR="00A65DE5" w:rsidRPr="00386A88">
        <w:rPr>
          <w:rFonts w:ascii="Times New Roman" w:hAnsi="Times New Roman" w:cs="Times New Roman"/>
          <w:sz w:val="24"/>
          <w:szCs w:val="24"/>
        </w:rPr>
        <w:t xml:space="preserve"> non-aggressive </w:t>
      </w:r>
      <w:r w:rsidR="008F2B00">
        <w:rPr>
          <w:rFonts w:ascii="Times New Roman" w:hAnsi="Times New Roman" w:cs="Times New Roman"/>
          <w:sz w:val="24"/>
          <w:szCs w:val="24"/>
        </w:rPr>
        <w:t>behavior</w:t>
      </w:r>
      <w:r w:rsidR="00A65DE5" w:rsidRPr="00386A88">
        <w:rPr>
          <w:rFonts w:ascii="Times New Roman" w:hAnsi="Times New Roman" w:cs="Times New Roman"/>
          <w:sz w:val="24"/>
          <w:szCs w:val="24"/>
        </w:rPr>
        <w:t>).</w:t>
      </w:r>
      <w:r w:rsidR="008F2B00">
        <w:rPr>
          <w:rFonts w:ascii="Times New Roman" w:hAnsi="Times New Roman" w:cs="Times New Roman"/>
          <w:sz w:val="24"/>
          <w:szCs w:val="24"/>
        </w:rPr>
        <w:t xml:space="preserve"> The p</w:t>
      </w:r>
      <w:r w:rsidR="00A65DE5" w:rsidRPr="00386A88">
        <w:rPr>
          <w:rFonts w:ascii="Times New Roman" w:hAnsi="Times New Roman" w:cs="Times New Roman"/>
          <w:sz w:val="24"/>
          <w:szCs w:val="24"/>
        </w:rPr>
        <w:t xml:space="preserve">atient </w:t>
      </w:r>
      <w:r w:rsidR="008F2B00">
        <w:rPr>
          <w:rFonts w:ascii="Times New Roman" w:hAnsi="Times New Roman" w:cs="Times New Roman"/>
          <w:sz w:val="24"/>
          <w:szCs w:val="24"/>
        </w:rPr>
        <w:t xml:space="preserve">was </w:t>
      </w:r>
      <w:r w:rsidR="00A65DE5" w:rsidRPr="00386A88">
        <w:rPr>
          <w:rFonts w:ascii="Times New Roman" w:hAnsi="Times New Roman" w:cs="Times New Roman"/>
          <w:sz w:val="24"/>
          <w:szCs w:val="24"/>
        </w:rPr>
        <w:t xml:space="preserve">referred to </w:t>
      </w:r>
      <w:r w:rsidR="008F2B00">
        <w:rPr>
          <w:rFonts w:ascii="Times New Roman" w:hAnsi="Times New Roman" w:cs="Times New Roman"/>
          <w:sz w:val="24"/>
          <w:szCs w:val="24"/>
        </w:rPr>
        <w:t xml:space="preserve">an </w:t>
      </w:r>
      <w:r w:rsidR="00A65DE5" w:rsidRPr="00386A88">
        <w:rPr>
          <w:rFonts w:ascii="Times New Roman" w:hAnsi="Times New Roman" w:cs="Times New Roman"/>
          <w:sz w:val="24"/>
          <w:szCs w:val="24"/>
        </w:rPr>
        <w:t xml:space="preserve">oral and maxillofacial surgeon for biopsy and treatment. </w:t>
      </w:r>
      <w:r w:rsidR="008F2B00" w:rsidRPr="00224CEC">
        <w:rPr>
          <w:rFonts w:ascii="Times New Roman" w:hAnsi="Times New Roman" w:cs="Times New Roman"/>
          <w:sz w:val="24"/>
          <w:szCs w:val="24"/>
        </w:rPr>
        <w:t>Histopathological</w:t>
      </w:r>
      <w:r w:rsidR="00A65DE5" w:rsidRPr="00386A88">
        <w:rPr>
          <w:rFonts w:ascii="Times New Roman" w:hAnsi="Times New Roman" w:cs="Times New Roman"/>
          <w:sz w:val="24"/>
          <w:szCs w:val="24"/>
        </w:rPr>
        <w:t xml:space="preserve"> findings confirm</w:t>
      </w:r>
      <w:r w:rsidR="00705226" w:rsidRPr="00386A88">
        <w:rPr>
          <w:rFonts w:ascii="Times New Roman" w:hAnsi="Times New Roman" w:cs="Times New Roman"/>
          <w:sz w:val="24"/>
          <w:szCs w:val="24"/>
        </w:rPr>
        <w:t>ed</w:t>
      </w:r>
      <w:r w:rsidR="00A65DE5" w:rsidRPr="00386A88">
        <w:rPr>
          <w:rFonts w:ascii="Times New Roman" w:hAnsi="Times New Roman" w:cs="Times New Roman"/>
          <w:sz w:val="24"/>
          <w:szCs w:val="24"/>
        </w:rPr>
        <w:t xml:space="preserve"> </w:t>
      </w:r>
      <w:r w:rsidR="008F2B00">
        <w:rPr>
          <w:rFonts w:ascii="Times New Roman" w:hAnsi="Times New Roman" w:cs="Times New Roman"/>
          <w:sz w:val="24"/>
          <w:szCs w:val="24"/>
        </w:rPr>
        <w:t>a</w:t>
      </w:r>
      <w:r w:rsidR="00A65DE5" w:rsidRPr="00386A88">
        <w:rPr>
          <w:rFonts w:ascii="Times New Roman" w:hAnsi="Times New Roman" w:cs="Times New Roman"/>
          <w:sz w:val="24"/>
          <w:szCs w:val="24"/>
        </w:rPr>
        <w:t xml:space="preserve"> diagnosis of CGCG. </w:t>
      </w:r>
    </w:p>
    <w:p w:rsidR="00E71EA1" w:rsidRDefault="00E71EA1" w:rsidP="00386A88">
      <w:pPr>
        <w:spacing w:after="0" w:line="240" w:lineRule="auto"/>
        <w:jc w:val="both"/>
        <w:rPr>
          <w:rFonts w:ascii="Times New Roman" w:hAnsi="Times New Roman" w:cs="Times New Roman"/>
          <w:sz w:val="24"/>
          <w:szCs w:val="24"/>
        </w:rPr>
      </w:pPr>
    </w:p>
    <w:p w:rsidR="00E71EA1" w:rsidRPr="00E71EA1" w:rsidRDefault="00E71EA1" w:rsidP="00E71EA1">
      <w:pPr>
        <w:rPr>
          <w:rFonts w:ascii="Times New Roman" w:hAnsi="Times New Roman" w:cs="Times New Roman"/>
          <w:sz w:val="24"/>
          <w:szCs w:val="24"/>
        </w:rPr>
      </w:pPr>
    </w:p>
    <w:p w:rsidR="00E71EA1" w:rsidRPr="00E71EA1" w:rsidRDefault="00E71EA1" w:rsidP="00E71EA1">
      <w:pPr>
        <w:rPr>
          <w:rFonts w:ascii="Times New Roman" w:hAnsi="Times New Roman" w:cs="Times New Roman"/>
          <w:sz w:val="24"/>
          <w:szCs w:val="24"/>
        </w:rPr>
      </w:pPr>
    </w:p>
    <w:p w:rsidR="00E71EA1" w:rsidRPr="00E71EA1" w:rsidRDefault="00E71EA1" w:rsidP="00E71EA1">
      <w:pPr>
        <w:rPr>
          <w:rFonts w:ascii="Times New Roman" w:hAnsi="Times New Roman" w:cs="Times New Roman"/>
          <w:sz w:val="24"/>
          <w:szCs w:val="24"/>
        </w:rPr>
      </w:pPr>
    </w:p>
    <w:p w:rsidR="00E71EA1" w:rsidRPr="00E71EA1" w:rsidRDefault="00E71EA1" w:rsidP="00E71EA1">
      <w:pPr>
        <w:rPr>
          <w:rFonts w:ascii="Times New Roman" w:hAnsi="Times New Roman" w:cs="Times New Roman"/>
          <w:sz w:val="24"/>
          <w:szCs w:val="24"/>
        </w:rPr>
      </w:pPr>
    </w:p>
    <w:p w:rsidR="00E71EA1" w:rsidRPr="00E71EA1" w:rsidRDefault="00E71EA1" w:rsidP="00E71EA1">
      <w:pPr>
        <w:rPr>
          <w:rFonts w:ascii="Times New Roman" w:hAnsi="Times New Roman" w:cs="Times New Roman"/>
          <w:sz w:val="24"/>
          <w:szCs w:val="24"/>
        </w:rPr>
      </w:pPr>
    </w:p>
    <w:p w:rsidR="00E71EA1" w:rsidRPr="00E71EA1" w:rsidRDefault="00E71EA1" w:rsidP="00E71EA1">
      <w:pPr>
        <w:rPr>
          <w:rFonts w:ascii="Times New Roman" w:hAnsi="Times New Roman" w:cs="Times New Roman"/>
          <w:sz w:val="24"/>
          <w:szCs w:val="24"/>
        </w:rPr>
      </w:pPr>
    </w:p>
    <w:p w:rsidR="00E71EA1" w:rsidRPr="00E71EA1" w:rsidRDefault="00E71EA1" w:rsidP="00E71EA1">
      <w:pPr>
        <w:rPr>
          <w:rFonts w:ascii="Times New Roman" w:hAnsi="Times New Roman" w:cs="Times New Roman"/>
          <w:sz w:val="24"/>
          <w:szCs w:val="24"/>
        </w:rPr>
      </w:pPr>
    </w:p>
    <w:p w:rsidR="00E71EA1" w:rsidRPr="00E71EA1" w:rsidRDefault="00E71EA1" w:rsidP="00E71EA1">
      <w:pPr>
        <w:rPr>
          <w:rFonts w:ascii="Times New Roman" w:hAnsi="Times New Roman" w:cs="Times New Roman"/>
          <w:sz w:val="24"/>
          <w:szCs w:val="24"/>
        </w:rPr>
      </w:pPr>
    </w:p>
    <w:p w:rsidR="00E71EA1" w:rsidRPr="00E71EA1" w:rsidRDefault="00E71EA1" w:rsidP="00E71EA1">
      <w:pPr>
        <w:rPr>
          <w:rFonts w:ascii="Times New Roman" w:hAnsi="Times New Roman" w:cs="Times New Roman"/>
          <w:sz w:val="24"/>
          <w:szCs w:val="24"/>
        </w:rPr>
      </w:pPr>
    </w:p>
    <w:p w:rsidR="00E71EA1" w:rsidRPr="00E71EA1" w:rsidRDefault="00E71EA1" w:rsidP="00E71EA1">
      <w:pPr>
        <w:rPr>
          <w:rFonts w:ascii="Times New Roman" w:hAnsi="Times New Roman" w:cs="Times New Roman"/>
          <w:sz w:val="24"/>
          <w:szCs w:val="24"/>
        </w:rPr>
      </w:pPr>
    </w:p>
    <w:p w:rsidR="00E71EA1" w:rsidRPr="00E71EA1" w:rsidRDefault="00E71EA1" w:rsidP="00E71EA1">
      <w:pPr>
        <w:rPr>
          <w:rFonts w:ascii="Times New Roman" w:hAnsi="Times New Roman" w:cs="Times New Roman"/>
          <w:sz w:val="24"/>
          <w:szCs w:val="24"/>
        </w:rPr>
      </w:pPr>
    </w:p>
    <w:p w:rsidR="00E71EA1" w:rsidRDefault="00E71EA1" w:rsidP="00E71EA1">
      <w:pPr>
        <w:rPr>
          <w:rFonts w:ascii="Times New Roman" w:hAnsi="Times New Roman" w:cs="Times New Roman"/>
          <w:sz w:val="24"/>
          <w:szCs w:val="24"/>
        </w:rPr>
      </w:pPr>
    </w:p>
    <w:p w:rsidR="00E71EA1" w:rsidRDefault="00E71EA1" w:rsidP="00E71EA1">
      <w:pPr>
        <w:ind w:firstLine="720"/>
        <w:rPr>
          <w:rFonts w:ascii="Times New Roman" w:hAnsi="Times New Roman" w:cs="Times New Roman"/>
          <w:sz w:val="24"/>
          <w:szCs w:val="24"/>
        </w:rPr>
      </w:pPr>
    </w:p>
    <w:p w:rsidR="00E71EA1" w:rsidRDefault="00E71EA1" w:rsidP="00E71EA1">
      <w:pPr>
        <w:ind w:firstLine="720"/>
        <w:rPr>
          <w:rFonts w:ascii="Times New Roman" w:hAnsi="Times New Roman" w:cs="Times New Roman"/>
          <w:sz w:val="24"/>
          <w:szCs w:val="24"/>
        </w:rPr>
      </w:pPr>
    </w:p>
    <w:p w:rsidR="00E71EA1" w:rsidRDefault="00E71EA1" w:rsidP="00E71EA1">
      <w:pPr>
        <w:ind w:firstLine="720"/>
        <w:rPr>
          <w:rFonts w:ascii="Times New Roman" w:hAnsi="Times New Roman" w:cs="Times New Roman"/>
          <w:sz w:val="24"/>
          <w:szCs w:val="24"/>
        </w:rPr>
      </w:pPr>
    </w:p>
    <w:p w:rsidR="00224CEC" w:rsidRDefault="00E71EA1" w:rsidP="00E71EA1">
      <w:pPr>
        <w:ind w:firstLine="720"/>
        <w:rPr>
          <w:rFonts w:ascii="Times New Roman" w:hAnsi="Times New Roman" w:cs="Times New Roman"/>
          <w:sz w:val="24"/>
          <w:szCs w:val="24"/>
        </w:rPr>
      </w:pPr>
      <w:r>
        <w:rPr>
          <w:rFonts w:ascii="Times New Roman" w:hAnsi="Times New Roman" w:cs="Times New Roman"/>
          <w:sz w:val="24"/>
          <w:szCs w:val="24"/>
        </w:rPr>
        <w:t>Images:</w:t>
      </w:r>
    </w:p>
    <w:p w:rsidR="00E71EA1" w:rsidRPr="00E71EA1" w:rsidRDefault="00E71EA1" w:rsidP="00E71EA1">
      <w:pPr>
        <w:ind w:firstLine="720"/>
        <w:rPr>
          <w:rFonts w:ascii="Times New Roman" w:hAnsi="Times New Roman" w:cs="Times New Roman"/>
          <w:sz w:val="24"/>
          <w:szCs w:val="24"/>
        </w:rPr>
      </w:pPr>
    </w:p>
    <w:p w:rsidR="00267FDC" w:rsidRPr="00386A88" w:rsidRDefault="00267FDC" w:rsidP="00386A88">
      <w:pPr>
        <w:spacing w:after="0" w:line="240" w:lineRule="auto"/>
        <w:jc w:val="center"/>
        <w:rPr>
          <w:rFonts w:ascii="Times New Roman" w:hAnsi="Times New Roman" w:cs="Times New Roman"/>
          <w:sz w:val="24"/>
          <w:szCs w:val="24"/>
        </w:rPr>
      </w:pPr>
      <w:r w:rsidRPr="00386A88">
        <w:rPr>
          <w:rFonts w:ascii="Times New Roman" w:hAnsi="Times New Roman" w:cs="Times New Roman"/>
          <w:noProof/>
          <w:sz w:val="24"/>
          <w:szCs w:val="24"/>
        </w:rPr>
        <w:drawing>
          <wp:inline distT="0" distB="0" distL="0" distR="0" wp14:anchorId="1BE068DF" wp14:editId="0B23F0AE">
            <wp:extent cx="5943600" cy="44577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ensandoost 1.jpg"/>
                    <pic:cNvPicPr/>
                  </pic:nvPicPr>
                  <pic:blipFill>
                    <a:blip r:embed="rId8">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rsidR="00267FDC" w:rsidRPr="00386A88" w:rsidRDefault="00267FDC" w:rsidP="00386A88">
      <w:pPr>
        <w:spacing w:after="0" w:line="240" w:lineRule="auto"/>
        <w:jc w:val="center"/>
        <w:rPr>
          <w:rFonts w:ascii="Times New Roman" w:hAnsi="Times New Roman" w:cs="Times New Roman"/>
          <w:b/>
          <w:bCs/>
        </w:rPr>
      </w:pPr>
      <w:r w:rsidRPr="00386A88">
        <w:rPr>
          <w:rFonts w:ascii="Times New Roman" w:hAnsi="Times New Roman" w:cs="Times New Roman"/>
          <w:b/>
          <w:bCs/>
        </w:rPr>
        <w:t>Fig.</w:t>
      </w:r>
      <w:r w:rsidR="00D9149B" w:rsidRPr="00386A88">
        <w:rPr>
          <w:rFonts w:ascii="Times New Roman" w:hAnsi="Times New Roman" w:cs="Times New Roman"/>
          <w:b/>
          <w:bCs/>
        </w:rPr>
        <w:t xml:space="preserve"> </w:t>
      </w:r>
      <w:r w:rsidRPr="00386A88">
        <w:rPr>
          <w:rFonts w:ascii="Times New Roman" w:hAnsi="Times New Roman" w:cs="Times New Roman"/>
          <w:b/>
          <w:bCs/>
        </w:rPr>
        <w:t>1</w:t>
      </w:r>
      <w:r w:rsidR="0099222C">
        <w:rPr>
          <w:rFonts w:ascii="Times New Roman" w:hAnsi="Times New Roman" w:cs="Times New Roman"/>
          <w:b/>
          <w:bCs/>
        </w:rPr>
        <w:t>.</w:t>
      </w:r>
      <w:r w:rsidRPr="00386A88">
        <w:rPr>
          <w:rFonts w:ascii="Times New Roman" w:hAnsi="Times New Roman" w:cs="Times New Roman"/>
          <w:b/>
          <w:bCs/>
        </w:rPr>
        <w:t xml:space="preserve"> Intraoral examination</w:t>
      </w:r>
      <w:r w:rsidR="00D9149B">
        <w:rPr>
          <w:rFonts w:ascii="Times New Roman" w:hAnsi="Times New Roman" w:cs="Times New Roman"/>
          <w:b/>
          <w:bCs/>
        </w:rPr>
        <w:t xml:space="preserve"> of the </w:t>
      </w:r>
      <w:r w:rsidR="006B10A6" w:rsidRPr="00386A88">
        <w:rPr>
          <w:rFonts w:ascii="Times New Roman" w:hAnsi="Times New Roman" w:cs="Times New Roman"/>
          <w:b/>
          <w:bCs/>
        </w:rPr>
        <w:t>granulomatous tissue in the right mandibular premolar</w:t>
      </w:r>
      <w:r w:rsidR="00BE13C8">
        <w:rPr>
          <w:rFonts w:ascii="Times New Roman" w:hAnsi="Times New Roman" w:cs="Times New Roman"/>
          <w:b/>
          <w:bCs/>
        </w:rPr>
        <w:t>‒</w:t>
      </w:r>
      <w:r w:rsidR="006B10A6" w:rsidRPr="00386A88">
        <w:rPr>
          <w:rFonts w:ascii="Times New Roman" w:hAnsi="Times New Roman" w:cs="Times New Roman"/>
          <w:b/>
          <w:bCs/>
        </w:rPr>
        <w:t xml:space="preserve">canine region with tooth displacement and expansion of </w:t>
      </w:r>
      <w:r w:rsidR="00BE13C8">
        <w:rPr>
          <w:rFonts w:ascii="Times New Roman" w:hAnsi="Times New Roman" w:cs="Times New Roman"/>
          <w:b/>
          <w:bCs/>
        </w:rPr>
        <w:t xml:space="preserve">the </w:t>
      </w:r>
      <w:r w:rsidR="006B10A6" w:rsidRPr="00386A88">
        <w:rPr>
          <w:rFonts w:ascii="Times New Roman" w:hAnsi="Times New Roman" w:cs="Times New Roman"/>
          <w:b/>
          <w:bCs/>
        </w:rPr>
        <w:t>buccal and lingual cortices</w:t>
      </w:r>
      <w:r w:rsidR="00224CEC" w:rsidRPr="00386A88">
        <w:rPr>
          <w:rFonts w:ascii="Times New Roman" w:hAnsi="Times New Roman" w:cs="Times New Roman"/>
          <w:b/>
          <w:bCs/>
        </w:rPr>
        <w:t>.</w:t>
      </w:r>
    </w:p>
    <w:p w:rsidR="00224CEC" w:rsidRDefault="00224CEC" w:rsidP="00386A88">
      <w:pPr>
        <w:spacing w:after="0" w:line="240" w:lineRule="auto"/>
        <w:jc w:val="both"/>
        <w:rPr>
          <w:rFonts w:ascii="Times New Roman" w:hAnsi="Times New Roman" w:cs="Times New Roman"/>
          <w:sz w:val="24"/>
          <w:szCs w:val="24"/>
        </w:rPr>
      </w:pPr>
    </w:p>
    <w:p w:rsidR="007065C6" w:rsidRDefault="007065C6" w:rsidP="00386A88">
      <w:pPr>
        <w:spacing w:after="0" w:line="240" w:lineRule="auto"/>
        <w:jc w:val="both"/>
        <w:rPr>
          <w:rFonts w:ascii="Times New Roman" w:hAnsi="Times New Roman" w:cs="Times New Roman"/>
          <w:sz w:val="24"/>
          <w:szCs w:val="24"/>
        </w:rPr>
      </w:pPr>
    </w:p>
    <w:p w:rsidR="007065C6" w:rsidRDefault="007065C6" w:rsidP="00386A88">
      <w:pPr>
        <w:spacing w:after="0" w:line="240" w:lineRule="auto"/>
        <w:jc w:val="both"/>
        <w:rPr>
          <w:rFonts w:ascii="Times New Roman" w:hAnsi="Times New Roman" w:cs="Times New Roman"/>
          <w:sz w:val="24"/>
          <w:szCs w:val="24"/>
        </w:rPr>
      </w:pPr>
    </w:p>
    <w:p w:rsidR="007065C6" w:rsidRDefault="007065C6" w:rsidP="00386A88">
      <w:pPr>
        <w:spacing w:after="0" w:line="240" w:lineRule="auto"/>
        <w:jc w:val="both"/>
        <w:rPr>
          <w:rFonts w:ascii="Times New Roman" w:hAnsi="Times New Roman" w:cs="Times New Roman"/>
          <w:sz w:val="24"/>
          <w:szCs w:val="24"/>
        </w:rPr>
      </w:pPr>
    </w:p>
    <w:p w:rsidR="007065C6" w:rsidRDefault="007065C6" w:rsidP="00386A88">
      <w:pPr>
        <w:spacing w:after="0" w:line="240" w:lineRule="auto"/>
        <w:jc w:val="both"/>
        <w:rPr>
          <w:rFonts w:ascii="Times New Roman" w:hAnsi="Times New Roman" w:cs="Times New Roman"/>
          <w:sz w:val="24"/>
          <w:szCs w:val="24"/>
        </w:rPr>
      </w:pPr>
    </w:p>
    <w:p w:rsidR="007065C6" w:rsidRDefault="007065C6" w:rsidP="00386A88">
      <w:pPr>
        <w:spacing w:after="0" w:line="240" w:lineRule="auto"/>
        <w:jc w:val="both"/>
        <w:rPr>
          <w:rFonts w:ascii="Times New Roman" w:hAnsi="Times New Roman" w:cs="Times New Roman"/>
          <w:sz w:val="24"/>
          <w:szCs w:val="24"/>
        </w:rPr>
      </w:pPr>
    </w:p>
    <w:p w:rsidR="007065C6" w:rsidRDefault="007065C6" w:rsidP="00386A88">
      <w:pPr>
        <w:spacing w:after="0" w:line="240" w:lineRule="auto"/>
        <w:jc w:val="both"/>
        <w:rPr>
          <w:rFonts w:ascii="Times New Roman" w:hAnsi="Times New Roman" w:cs="Times New Roman"/>
          <w:sz w:val="24"/>
          <w:szCs w:val="24"/>
        </w:rPr>
      </w:pPr>
    </w:p>
    <w:p w:rsidR="007065C6" w:rsidRDefault="007065C6" w:rsidP="00386A88">
      <w:pPr>
        <w:spacing w:after="0" w:line="240" w:lineRule="auto"/>
        <w:jc w:val="both"/>
        <w:rPr>
          <w:rFonts w:ascii="Times New Roman" w:hAnsi="Times New Roman" w:cs="Times New Roman"/>
          <w:sz w:val="24"/>
          <w:szCs w:val="24"/>
        </w:rPr>
      </w:pPr>
    </w:p>
    <w:p w:rsidR="007065C6" w:rsidRDefault="007065C6" w:rsidP="00386A88">
      <w:pPr>
        <w:spacing w:after="0" w:line="240" w:lineRule="auto"/>
        <w:jc w:val="both"/>
        <w:rPr>
          <w:rFonts w:ascii="Times New Roman" w:hAnsi="Times New Roman" w:cs="Times New Roman"/>
          <w:sz w:val="24"/>
          <w:szCs w:val="24"/>
        </w:rPr>
      </w:pPr>
    </w:p>
    <w:p w:rsidR="007065C6" w:rsidRDefault="007065C6" w:rsidP="00386A88">
      <w:pPr>
        <w:spacing w:after="0" w:line="240" w:lineRule="auto"/>
        <w:jc w:val="both"/>
        <w:rPr>
          <w:rFonts w:ascii="Times New Roman" w:hAnsi="Times New Roman" w:cs="Times New Roman"/>
          <w:sz w:val="24"/>
          <w:szCs w:val="24"/>
        </w:rPr>
      </w:pPr>
    </w:p>
    <w:p w:rsidR="007065C6" w:rsidRDefault="007065C6" w:rsidP="00386A88">
      <w:pPr>
        <w:spacing w:after="0" w:line="240" w:lineRule="auto"/>
        <w:jc w:val="both"/>
        <w:rPr>
          <w:rFonts w:ascii="Times New Roman" w:hAnsi="Times New Roman" w:cs="Times New Roman"/>
          <w:sz w:val="24"/>
          <w:szCs w:val="24"/>
        </w:rPr>
      </w:pPr>
    </w:p>
    <w:p w:rsidR="007065C6" w:rsidRPr="00386A88" w:rsidRDefault="007065C6" w:rsidP="00386A88">
      <w:pPr>
        <w:spacing w:after="0" w:line="240" w:lineRule="auto"/>
        <w:jc w:val="both"/>
        <w:rPr>
          <w:rFonts w:ascii="Times New Roman" w:hAnsi="Times New Roman" w:cs="Times New Roman"/>
          <w:sz w:val="24"/>
          <w:szCs w:val="24"/>
        </w:rPr>
      </w:pPr>
    </w:p>
    <w:p w:rsidR="00DC3D67" w:rsidRPr="00386A88" w:rsidRDefault="00DC3D67" w:rsidP="00386A88">
      <w:pPr>
        <w:spacing w:after="0" w:line="240" w:lineRule="auto"/>
        <w:jc w:val="both"/>
        <w:rPr>
          <w:rFonts w:ascii="Times New Roman" w:hAnsi="Times New Roman" w:cs="Times New Roman"/>
          <w:sz w:val="24"/>
          <w:szCs w:val="24"/>
        </w:rPr>
      </w:pPr>
      <w:r w:rsidRPr="00386A88">
        <w:rPr>
          <w:rFonts w:ascii="Times New Roman" w:hAnsi="Times New Roman" w:cs="Times New Roman"/>
          <w:noProof/>
          <w:sz w:val="24"/>
          <w:szCs w:val="24"/>
        </w:rPr>
        <w:lastRenderedPageBreak/>
        <w:drawing>
          <wp:inline distT="0" distB="0" distL="0" distR="0" wp14:anchorId="7CD5097E" wp14:editId="13DA0F27">
            <wp:extent cx="5943600" cy="1421765"/>
            <wp:effectExtent l="0" t="0" r="0" b="698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an occ.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1421765"/>
                    </a:xfrm>
                    <a:prstGeom prst="rect">
                      <a:avLst/>
                    </a:prstGeom>
                  </pic:spPr>
                </pic:pic>
              </a:graphicData>
            </a:graphic>
          </wp:inline>
        </w:drawing>
      </w:r>
    </w:p>
    <w:p w:rsidR="00DC3D67" w:rsidRPr="00386A88" w:rsidRDefault="00933E2E" w:rsidP="00386A88">
      <w:pPr>
        <w:spacing w:after="0" w:line="240" w:lineRule="auto"/>
        <w:jc w:val="both"/>
        <w:rPr>
          <w:rFonts w:ascii="Times New Roman" w:hAnsi="Times New Roman" w:cs="Times New Roman"/>
          <w:sz w:val="24"/>
          <w:szCs w:val="24"/>
        </w:rPr>
      </w:pPr>
      <w:r w:rsidRPr="00386A88">
        <w:rPr>
          <w:rFonts w:ascii="Times New Roman" w:hAnsi="Times New Roman" w:cs="Times New Roman"/>
          <w:noProof/>
          <w:sz w:val="24"/>
          <w:szCs w:val="24"/>
        </w:rPr>
        <w:drawing>
          <wp:inline distT="0" distB="0" distL="0" distR="0" wp14:anchorId="2F83FFB2" wp14:editId="75F50FCD">
            <wp:extent cx="5933611" cy="4086225"/>
            <wp:effectExtent l="0" t="0" r="0" b="0"/>
            <wp:docPr id="1" name="Picture 1" descr="C:\Users\WINDOWS 10\Desktop\pooster\multip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INDOWS 10\Desktop\pooster\multiple.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52927" cy="4099527"/>
                    </a:xfrm>
                    <a:prstGeom prst="rect">
                      <a:avLst/>
                    </a:prstGeom>
                    <a:noFill/>
                    <a:ln>
                      <a:noFill/>
                    </a:ln>
                  </pic:spPr>
                </pic:pic>
              </a:graphicData>
            </a:graphic>
          </wp:inline>
        </w:drawing>
      </w:r>
    </w:p>
    <w:p w:rsidR="00DC3D67" w:rsidRPr="00386A88" w:rsidRDefault="00DC3D67" w:rsidP="00386A88">
      <w:pPr>
        <w:spacing w:after="0" w:line="240" w:lineRule="auto"/>
        <w:jc w:val="center"/>
        <w:rPr>
          <w:rFonts w:ascii="Times New Roman" w:hAnsi="Times New Roman" w:cs="Times New Roman"/>
          <w:b/>
          <w:bCs/>
        </w:rPr>
      </w:pPr>
      <w:r w:rsidRPr="00386A88">
        <w:rPr>
          <w:rFonts w:ascii="Times New Roman" w:hAnsi="Times New Roman" w:cs="Times New Roman"/>
          <w:b/>
          <w:bCs/>
        </w:rPr>
        <w:t>Fig.</w:t>
      </w:r>
      <w:r w:rsidR="00224CEC" w:rsidRPr="00386A88">
        <w:rPr>
          <w:rFonts w:ascii="Times New Roman" w:hAnsi="Times New Roman" w:cs="Times New Roman"/>
          <w:b/>
          <w:bCs/>
        </w:rPr>
        <w:t xml:space="preserve"> </w:t>
      </w:r>
      <w:r w:rsidRPr="00386A88">
        <w:rPr>
          <w:rFonts w:ascii="Times New Roman" w:hAnsi="Times New Roman" w:cs="Times New Roman"/>
          <w:b/>
          <w:bCs/>
        </w:rPr>
        <w:t>2</w:t>
      </w:r>
      <w:r w:rsidR="00224CEC" w:rsidRPr="00386A88">
        <w:rPr>
          <w:rFonts w:ascii="Times New Roman" w:hAnsi="Times New Roman" w:cs="Times New Roman"/>
          <w:b/>
          <w:bCs/>
        </w:rPr>
        <w:t xml:space="preserve">. </w:t>
      </w:r>
      <w:r w:rsidR="006B10A6" w:rsidRPr="00386A88">
        <w:rPr>
          <w:rFonts w:ascii="Times New Roman" w:hAnsi="Times New Roman" w:cs="Times New Roman"/>
          <w:b/>
          <w:bCs/>
        </w:rPr>
        <w:t xml:space="preserve">Occlusal, panoramic and CBCT </w:t>
      </w:r>
      <w:r w:rsidR="00933E2E" w:rsidRPr="00386A88">
        <w:rPr>
          <w:rFonts w:ascii="Times New Roman" w:hAnsi="Times New Roman" w:cs="Times New Roman"/>
          <w:b/>
          <w:bCs/>
        </w:rPr>
        <w:t>(A:</w:t>
      </w:r>
      <w:r w:rsidR="00BE13C8">
        <w:rPr>
          <w:rFonts w:ascii="Times New Roman" w:hAnsi="Times New Roman" w:cs="Times New Roman"/>
          <w:b/>
          <w:bCs/>
        </w:rPr>
        <w:t xml:space="preserve"> </w:t>
      </w:r>
      <w:r w:rsidR="00933E2E" w:rsidRPr="00386A88">
        <w:rPr>
          <w:rFonts w:ascii="Times New Roman" w:hAnsi="Times New Roman" w:cs="Times New Roman"/>
          <w:b/>
          <w:bCs/>
        </w:rPr>
        <w:t>3D, B:</w:t>
      </w:r>
      <w:r w:rsidR="00BE13C8">
        <w:rPr>
          <w:rFonts w:ascii="Times New Roman" w:hAnsi="Times New Roman" w:cs="Times New Roman"/>
          <w:b/>
          <w:bCs/>
        </w:rPr>
        <w:t xml:space="preserve"> a</w:t>
      </w:r>
      <w:r w:rsidR="00933E2E" w:rsidRPr="00386A88">
        <w:rPr>
          <w:rFonts w:ascii="Times New Roman" w:hAnsi="Times New Roman" w:cs="Times New Roman"/>
          <w:b/>
          <w:bCs/>
        </w:rPr>
        <w:t xml:space="preserve">xial, C: </w:t>
      </w:r>
      <w:r w:rsidR="00BE13C8">
        <w:rPr>
          <w:rFonts w:ascii="Times New Roman" w:hAnsi="Times New Roman" w:cs="Times New Roman"/>
          <w:b/>
          <w:bCs/>
        </w:rPr>
        <w:t>c</w:t>
      </w:r>
      <w:r w:rsidR="00933E2E" w:rsidRPr="00386A88">
        <w:rPr>
          <w:rFonts w:ascii="Times New Roman" w:hAnsi="Times New Roman" w:cs="Times New Roman"/>
          <w:b/>
          <w:bCs/>
        </w:rPr>
        <w:t>ross</w:t>
      </w:r>
      <w:r w:rsidR="00BE13C8">
        <w:rPr>
          <w:rFonts w:ascii="Times New Roman" w:hAnsi="Times New Roman" w:cs="Times New Roman"/>
          <w:b/>
          <w:bCs/>
        </w:rPr>
        <w:t>-</w:t>
      </w:r>
      <w:r w:rsidR="00933E2E" w:rsidRPr="00386A88">
        <w:rPr>
          <w:rFonts w:ascii="Times New Roman" w:hAnsi="Times New Roman" w:cs="Times New Roman"/>
          <w:b/>
          <w:bCs/>
        </w:rPr>
        <w:t xml:space="preserve">sectional, D: </w:t>
      </w:r>
      <w:r w:rsidR="00BE13C8">
        <w:rPr>
          <w:rFonts w:ascii="Times New Roman" w:hAnsi="Times New Roman" w:cs="Times New Roman"/>
          <w:b/>
          <w:bCs/>
        </w:rPr>
        <w:t>c</w:t>
      </w:r>
      <w:r w:rsidR="00933E2E" w:rsidRPr="00386A88">
        <w:rPr>
          <w:rFonts w:ascii="Times New Roman" w:hAnsi="Times New Roman" w:cs="Times New Roman"/>
          <w:b/>
          <w:bCs/>
        </w:rPr>
        <w:t>oronal) views</w:t>
      </w:r>
      <w:r w:rsidR="00224CEC" w:rsidRPr="00386A88">
        <w:rPr>
          <w:rFonts w:ascii="Times New Roman" w:hAnsi="Times New Roman" w:cs="Times New Roman"/>
          <w:b/>
          <w:bCs/>
        </w:rPr>
        <w:t xml:space="preserve"> </w:t>
      </w:r>
      <w:r w:rsidR="006B10A6" w:rsidRPr="00386A88">
        <w:rPr>
          <w:rFonts w:ascii="Times New Roman" w:hAnsi="Times New Roman" w:cs="Times New Roman"/>
          <w:b/>
          <w:bCs/>
        </w:rPr>
        <w:t xml:space="preserve">showed </w:t>
      </w:r>
      <w:r w:rsidR="00BE13C8">
        <w:rPr>
          <w:rFonts w:ascii="Times New Roman" w:hAnsi="Times New Roman" w:cs="Times New Roman"/>
          <w:b/>
          <w:bCs/>
        </w:rPr>
        <w:t xml:space="preserve">a </w:t>
      </w:r>
      <w:r w:rsidR="006B10A6" w:rsidRPr="00386A88">
        <w:rPr>
          <w:rFonts w:ascii="Times New Roman" w:hAnsi="Times New Roman" w:cs="Times New Roman"/>
          <w:b/>
          <w:bCs/>
        </w:rPr>
        <w:t>well</w:t>
      </w:r>
      <w:r w:rsidR="00224CEC" w:rsidRPr="00386A88">
        <w:rPr>
          <w:rFonts w:ascii="Times New Roman" w:hAnsi="Times New Roman" w:cs="Times New Roman"/>
          <w:b/>
          <w:bCs/>
        </w:rPr>
        <w:t>-</w:t>
      </w:r>
      <w:r w:rsidR="006B10A6" w:rsidRPr="00386A88">
        <w:rPr>
          <w:rFonts w:ascii="Times New Roman" w:hAnsi="Times New Roman" w:cs="Times New Roman"/>
          <w:b/>
          <w:bCs/>
        </w:rPr>
        <w:t>defined lesion which crossed</w:t>
      </w:r>
      <w:r w:rsidR="00224CEC" w:rsidRPr="00386A88">
        <w:rPr>
          <w:rFonts w:ascii="Times New Roman" w:hAnsi="Times New Roman" w:cs="Times New Roman"/>
          <w:b/>
          <w:bCs/>
        </w:rPr>
        <w:t xml:space="preserve"> </w:t>
      </w:r>
      <w:r w:rsidR="006B10A6" w:rsidRPr="00386A88">
        <w:rPr>
          <w:rFonts w:ascii="Times New Roman" w:hAnsi="Times New Roman" w:cs="Times New Roman"/>
          <w:b/>
          <w:bCs/>
        </w:rPr>
        <w:t xml:space="preserve">the midline of </w:t>
      </w:r>
      <w:r w:rsidR="00BE13C8">
        <w:rPr>
          <w:rFonts w:ascii="Times New Roman" w:hAnsi="Times New Roman" w:cs="Times New Roman"/>
          <w:b/>
          <w:bCs/>
        </w:rPr>
        <w:t xml:space="preserve">the </w:t>
      </w:r>
      <w:r w:rsidR="006B10A6" w:rsidRPr="00386A88">
        <w:rPr>
          <w:rFonts w:ascii="Times New Roman" w:hAnsi="Times New Roman" w:cs="Times New Roman"/>
          <w:b/>
          <w:bCs/>
        </w:rPr>
        <w:t>mandible</w:t>
      </w:r>
      <w:r w:rsidR="00BE13C8">
        <w:rPr>
          <w:rFonts w:ascii="Times New Roman" w:hAnsi="Times New Roman" w:cs="Times New Roman"/>
          <w:b/>
          <w:bCs/>
        </w:rPr>
        <w:t>,</w:t>
      </w:r>
      <w:r w:rsidR="006B10A6" w:rsidRPr="00386A88">
        <w:rPr>
          <w:rFonts w:ascii="Times New Roman" w:hAnsi="Times New Roman" w:cs="Times New Roman"/>
          <w:b/>
          <w:bCs/>
        </w:rPr>
        <w:t xml:space="preserve"> extending from </w:t>
      </w:r>
      <w:r w:rsidR="00BE13C8">
        <w:rPr>
          <w:rFonts w:ascii="Times New Roman" w:hAnsi="Times New Roman" w:cs="Times New Roman"/>
          <w:b/>
          <w:bCs/>
        </w:rPr>
        <w:t xml:space="preserve">the </w:t>
      </w:r>
      <w:r w:rsidR="006B10A6" w:rsidRPr="00386A88">
        <w:rPr>
          <w:rFonts w:ascii="Times New Roman" w:hAnsi="Times New Roman" w:cs="Times New Roman"/>
          <w:b/>
          <w:bCs/>
        </w:rPr>
        <w:t xml:space="preserve">mesial </w:t>
      </w:r>
      <w:r w:rsidR="00BE13C8">
        <w:rPr>
          <w:rFonts w:ascii="Times New Roman" w:hAnsi="Times New Roman" w:cs="Times New Roman"/>
          <w:b/>
          <w:bCs/>
        </w:rPr>
        <w:t>aspect</w:t>
      </w:r>
      <w:r w:rsidR="00BE13C8" w:rsidRPr="00386A88">
        <w:rPr>
          <w:rFonts w:ascii="Times New Roman" w:hAnsi="Times New Roman" w:cs="Times New Roman"/>
          <w:b/>
          <w:bCs/>
        </w:rPr>
        <w:t xml:space="preserve"> </w:t>
      </w:r>
      <w:r w:rsidR="006B10A6" w:rsidRPr="00386A88">
        <w:rPr>
          <w:rFonts w:ascii="Times New Roman" w:hAnsi="Times New Roman" w:cs="Times New Roman"/>
          <w:b/>
          <w:bCs/>
        </w:rPr>
        <w:t xml:space="preserve">of tooth </w:t>
      </w:r>
      <w:r w:rsidR="00BE13C8">
        <w:rPr>
          <w:rFonts w:ascii="Times New Roman" w:hAnsi="Times New Roman" w:cs="Times New Roman"/>
          <w:b/>
          <w:bCs/>
        </w:rPr>
        <w:t>#</w:t>
      </w:r>
      <w:r w:rsidR="006B10A6" w:rsidRPr="00386A88">
        <w:rPr>
          <w:rFonts w:ascii="Times New Roman" w:hAnsi="Times New Roman" w:cs="Times New Roman"/>
          <w:b/>
          <w:bCs/>
          <w:highlight w:val="yellow"/>
        </w:rPr>
        <w:t>7</w:t>
      </w:r>
      <w:r w:rsidR="006B10A6" w:rsidRPr="00386A88">
        <w:rPr>
          <w:rFonts w:ascii="Times New Roman" w:hAnsi="Times New Roman" w:cs="Times New Roman"/>
          <w:b/>
          <w:bCs/>
        </w:rPr>
        <w:t xml:space="preserve"> to the collateral side.</w:t>
      </w:r>
    </w:p>
    <w:p w:rsidR="00DC3D67" w:rsidRPr="00386A88" w:rsidRDefault="00DC3D67" w:rsidP="00386A88">
      <w:pPr>
        <w:spacing w:after="0" w:line="240" w:lineRule="auto"/>
        <w:jc w:val="both"/>
        <w:rPr>
          <w:rFonts w:ascii="Times New Roman" w:hAnsi="Times New Roman" w:cs="Times New Roman"/>
          <w:sz w:val="24"/>
          <w:szCs w:val="24"/>
        </w:rPr>
      </w:pPr>
    </w:p>
    <w:p w:rsidR="00DC3D67" w:rsidRPr="00386A88" w:rsidRDefault="00DC3D67" w:rsidP="00386A88">
      <w:pPr>
        <w:spacing w:after="0" w:line="240" w:lineRule="auto"/>
        <w:jc w:val="both"/>
        <w:rPr>
          <w:rFonts w:ascii="Times New Roman" w:hAnsi="Times New Roman" w:cs="Times New Roman"/>
          <w:sz w:val="24"/>
          <w:szCs w:val="24"/>
        </w:rPr>
      </w:pPr>
    </w:p>
    <w:p w:rsidR="00AB595D" w:rsidRPr="00386A88" w:rsidRDefault="00AB595D" w:rsidP="00386A88">
      <w:pPr>
        <w:spacing w:after="0" w:line="240" w:lineRule="auto"/>
        <w:jc w:val="center"/>
        <w:rPr>
          <w:rFonts w:ascii="Times New Roman" w:hAnsi="Times New Roman" w:cs="Times New Roman"/>
          <w:sz w:val="24"/>
          <w:szCs w:val="24"/>
          <w:rtl/>
          <w:lang w:bidi="fa-IR"/>
        </w:rPr>
      </w:pPr>
      <w:r w:rsidRPr="00386A88">
        <w:rPr>
          <w:rFonts w:ascii="Times New Roman" w:hAnsi="Times New Roman" w:cs="Times New Roman"/>
          <w:noProof/>
          <w:sz w:val="24"/>
          <w:szCs w:val="24"/>
        </w:rPr>
        <w:lastRenderedPageBreak/>
        <w:drawing>
          <wp:inline distT="0" distB="0" distL="0" distR="0" wp14:anchorId="556C17E5" wp14:editId="2EDD7FBD">
            <wp:extent cx="4040233" cy="369719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et f.png"/>
                    <pic:cNvPicPr/>
                  </pic:nvPicPr>
                  <pic:blipFill>
                    <a:blip r:embed="rId11">
                      <a:extLst>
                        <a:ext uri="{28A0092B-C50C-407E-A947-70E740481C1C}">
                          <a14:useLocalDpi xmlns:a14="http://schemas.microsoft.com/office/drawing/2010/main" val="0"/>
                        </a:ext>
                      </a:extLst>
                    </a:blip>
                    <a:stretch>
                      <a:fillRect/>
                    </a:stretch>
                  </pic:blipFill>
                  <pic:spPr>
                    <a:xfrm>
                      <a:off x="0" y="0"/>
                      <a:ext cx="4040233" cy="3697194"/>
                    </a:xfrm>
                    <a:prstGeom prst="rect">
                      <a:avLst/>
                    </a:prstGeom>
                  </pic:spPr>
                </pic:pic>
              </a:graphicData>
            </a:graphic>
          </wp:inline>
        </w:drawing>
      </w:r>
    </w:p>
    <w:p w:rsidR="00933E2E" w:rsidRPr="00386A88" w:rsidRDefault="00933E2E" w:rsidP="00386A88">
      <w:pPr>
        <w:spacing w:after="0" w:line="240" w:lineRule="auto"/>
        <w:jc w:val="center"/>
        <w:rPr>
          <w:rFonts w:ascii="Times New Roman" w:hAnsi="Times New Roman" w:cs="Times New Roman"/>
          <w:b/>
          <w:bCs/>
          <w:lang w:bidi="fa-IR"/>
        </w:rPr>
      </w:pPr>
      <w:r w:rsidRPr="00386A88">
        <w:rPr>
          <w:rFonts w:ascii="Times New Roman" w:hAnsi="Times New Roman" w:cs="Times New Roman"/>
          <w:b/>
          <w:bCs/>
          <w:lang w:bidi="fa-IR"/>
        </w:rPr>
        <w:t>Fig</w:t>
      </w:r>
      <w:r w:rsidR="00224CEC" w:rsidRPr="00386A88">
        <w:rPr>
          <w:rFonts w:ascii="Times New Roman" w:hAnsi="Times New Roman" w:cs="Times New Roman"/>
          <w:b/>
          <w:bCs/>
          <w:lang w:bidi="fa-IR"/>
        </w:rPr>
        <w:t xml:space="preserve">. </w:t>
      </w:r>
      <w:r w:rsidRPr="00386A88">
        <w:rPr>
          <w:rFonts w:ascii="Times New Roman" w:hAnsi="Times New Roman" w:cs="Times New Roman"/>
          <w:b/>
          <w:bCs/>
          <w:lang w:bidi="fa-IR"/>
        </w:rPr>
        <w:t>3</w:t>
      </w:r>
      <w:r w:rsidR="0099222C">
        <w:rPr>
          <w:rFonts w:ascii="Times New Roman" w:hAnsi="Times New Roman" w:cs="Times New Roman"/>
          <w:b/>
          <w:bCs/>
          <w:lang w:bidi="fa-IR"/>
        </w:rPr>
        <w:t>.</w:t>
      </w:r>
      <w:r w:rsidRPr="00386A88">
        <w:rPr>
          <w:rFonts w:ascii="Times New Roman" w:hAnsi="Times New Roman" w:cs="Times New Roman"/>
          <w:b/>
          <w:bCs/>
          <w:lang w:bidi="fa-IR"/>
        </w:rPr>
        <w:t xml:space="preserve"> </w:t>
      </w:r>
      <w:r w:rsidR="00653D39" w:rsidRPr="00386A88">
        <w:rPr>
          <w:rFonts w:ascii="Times New Roman" w:hAnsi="Times New Roman" w:cs="Times New Roman"/>
          <w:b/>
          <w:bCs/>
          <w:lang w:bidi="fa-IR"/>
        </w:rPr>
        <w:t>Whole</w:t>
      </w:r>
      <w:r w:rsidR="0099222C">
        <w:rPr>
          <w:rFonts w:ascii="Times New Roman" w:hAnsi="Times New Roman" w:cs="Times New Roman"/>
          <w:b/>
          <w:bCs/>
          <w:lang w:bidi="fa-IR"/>
        </w:rPr>
        <w:t>-</w:t>
      </w:r>
      <w:r w:rsidR="00653D39" w:rsidRPr="00386A88">
        <w:rPr>
          <w:rFonts w:ascii="Times New Roman" w:hAnsi="Times New Roman" w:cs="Times New Roman"/>
          <w:b/>
          <w:bCs/>
          <w:lang w:bidi="fa-IR"/>
        </w:rPr>
        <w:t>body bone scan and SPECT findings showed no abnormal tracer uptake throughout the skeletal system</w:t>
      </w:r>
      <w:r w:rsidR="0099222C">
        <w:rPr>
          <w:rFonts w:ascii="Times New Roman" w:hAnsi="Times New Roman" w:cs="Times New Roman"/>
          <w:b/>
          <w:bCs/>
          <w:lang w:bidi="fa-IR"/>
        </w:rPr>
        <w:t>,</w:t>
      </w:r>
      <w:r w:rsidR="00653D39" w:rsidRPr="00386A88">
        <w:rPr>
          <w:rFonts w:ascii="Times New Roman" w:hAnsi="Times New Roman" w:cs="Times New Roman"/>
          <w:b/>
          <w:bCs/>
          <w:lang w:bidi="fa-IR"/>
        </w:rPr>
        <w:t xml:space="preserve"> including </w:t>
      </w:r>
      <w:r w:rsidR="0099222C">
        <w:rPr>
          <w:rFonts w:ascii="Times New Roman" w:hAnsi="Times New Roman" w:cs="Times New Roman"/>
          <w:b/>
          <w:bCs/>
          <w:lang w:bidi="fa-IR"/>
        </w:rPr>
        <w:t xml:space="preserve">the </w:t>
      </w:r>
      <w:r w:rsidR="00653D39" w:rsidRPr="00386A88">
        <w:rPr>
          <w:rFonts w:ascii="Times New Roman" w:hAnsi="Times New Roman" w:cs="Times New Roman"/>
          <w:b/>
          <w:bCs/>
          <w:lang w:bidi="fa-IR"/>
        </w:rPr>
        <w:t>mandibular condyle.</w:t>
      </w:r>
    </w:p>
    <w:p w:rsidR="00224CEC" w:rsidRPr="00386A88" w:rsidRDefault="00224CEC" w:rsidP="00386A88">
      <w:pPr>
        <w:spacing w:after="0" w:line="240" w:lineRule="auto"/>
        <w:jc w:val="both"/>
        <w:rPr>
          <w:rFonts w:ascii="Times New Roman" w:hAnsi="Times New Roman" w:cs="Times New Roman"/>
          <w:sz w:val="24"/>
          <w:szCs w:val="24"/>
          <w:lang w:bidi="fa-IR"/>
        </w:rPr>
      </w:pPr>
    </w:p>
    <w:p w:rsidR="00653D39" w:rsidRPr="00386A88" w:rsidRDefault="00674044" w:rsidP="00386A88">
      <w:pPr>
        <w:spacing w:after="0" w:line="240" w:lineRule="auto"/>
        <w:jc w:val="center"/>
        <w:rPr>
          <w:rFonts w:ascii="Times New Roman" w:hAnsi="Times New Roman" w:cs="Times New Roman"/>
          <w:sz w:val="24"/>
          <w:szCs w:val="24"/>
        </w:rPr>
      </w:pPr>
      <w:r w:rsidRPr="00386A88">
        <w:rPr>
          <w:rFonts w:ascii="Times New Roman" w:hAnsi="Times New Roman" w:cs="Times New Roman"/>
          <w:noProof/>
          <w:sz w:val="24"/>
          <w:szCs w:val="24"/>
        </w:rPr>
        <w:drawing>
          <wp:inline distT="0" distB="0" distL="0" distR="0" wp14:anchorId="027A3D72" wp14:editId="2693F257">
            <wp:extent cx="3048425" cy="221963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histo.png"/>
                    <pic:cNvPicPr/>
                  </pic:nvPicPr>
                  <pic:blipFill>
                    <a:blip r:embed="rId12">
                      <a:extLst>
                        <a:ext uri="{28A0092B-C50C-407E-A947-70E740481C1C}">
                          <a14:useLocalDpi xmlns:a14="http://schemas.microsoft.com/office/drawing/2010/main" val="0"/>
                        </a:ext>
                      </a:extLst>
                    </a:blip>
                    <a:stretch>
                      <a:fillRect/>
                    </a:stretch>
                  </pic:blipFill>
                  <pic:spPr>
                    <a:xfrm>
                      <a:off x="0" y="0"/>
                      <a:ext cx="3048425" cy="2219635"/>
                    </a:xfrm>
                    <a:prstGeom prst="rect">
                      <a:avLst/>
                    </a:prstGeom>
                  </pic:spPr>
                </pic:pic>
              </a:graphicData>
            </a:graphic>
          </wp:inline>
        </w:drawing>
      </w:r>
    </w:p>
    <w:p w:rsidR="00653D39" w:rsidRPr="00386A88" w:rsidRDefault="00653D39" w:rsidP="00386A88">
      <w:pPr>
        <w:spacing w:after="0" w:line="240" w:lineRule="auto"/>
        <w:jc w:val="center"/>
        <w:rPr>
          <w:rFonts w:ascii="Times New Roman" w:hAnsi="Times New Roman" w:cs="Times New Roman"/>
          <w:b/>
          <w:bCs/>
        </w:rPr>
      </w:pPr>
      <w:r w:rsidRPr="00386A88">
        <w:rPr>
          <w:rFonts w:ascii="Times New Roman" w:hAnsi="Times New Roman" w:cs="Times New Roman"/>
          <w:b/>
          <w:bCs/>
        </w:rPr>
        <w:t>Fig</w:t>
      </w:r>
      <w:r w:rsidR="00224CEC" w:rsidRPr="00386A88">
        <w:rPr>
          <w:rFonts w:ascii="Times New Roman" w:hAnsi="Times New Roman" w:cs="Times New Roman"/>
          <w:b/>
          <w:bCs/>
        </w:rPr>
        <w:t xml:space="preserve">. </w:t>
      </w:r>
      <w:r w:rsidRPr="00386A88">
        <w:rPr>
          <w:rFonts w:ascii="Times New Roman" w:hAnsi="Times New Roman" w:cs="Times New Roman"/>
          <w:b/>
          <w:bCs/>
        </w:rPr>
        <w:t>4</w:t>
      </w:r>
      <w:r w:rsidR="0099222C">
        <w:rPr>
          <w:rFonts w:ascii="Times New Roman" w:hAnsi="Times New Roman" w:cs="Times New Roman"/>
          <w:b/>
          <w:bCs/>
        </w:rPr>
        <w:t>.</w:t>
      </w:r>
      <w:r w:rsidR="00D159DB" w:rsidRPr="00386A88">
        <w:rPr>
          <w:rFonts w:ascii="Times New Roman" w:hAnsi="Times New Roman" w:cs="Times New Roman"/>
          <w:b/>
          <w:bCs/>
        </w:rPr>
        <w:t xml:space="preserve"> Numerous osteoclast</w:t>
      </w:r>
      <w:r w:rsidR="00BE13C8" w:rsidRPr="00386A88">
        <w:rPr>
          <w:rFonts w:ascii="Times New Roman" w:hAnsi="Times New Roman" w:cs="Times New Roman"/>
          <w:b/>
          <w:bCs/>
        </w:rPr>
        <w:t>-</w:t>
      </w:r>
      <w:r w:rsidR="00D159DB" w:rsidRPr="00386A88">
        <w:rPr>
          <w:rFonts w:ascii="Times New Roman" w:hAnsi="Times New Roman" w:cs="Times New Roman"/>
          <w:b/>
          <w:bCs/>
        </w:rPr>
        <w:t>like giant cell</w:t>
      </w:r>
      <w:r w:rsidR="00BE13C8" w:rsidRPr="00386A88">
        <w:rPr>
          <w:rFonts w:ascii="Times New Roman" w:hAnsi="Times New Roman" w:cs="Times New Roman"/>
          <w:b/>
          <w:bCs/>
        </w:rPr>
        <w:t>s</w:t>
      </w:r>
      <w:r w:rsidR="00D159DB" w:rsidRPr="00386A88">
        <w:rPr>
          <w:rFonts w:ascii="Times New Roman" w:hAnsi="Times New Roman" w:cs="Times New Roman"/>
          <w:b/>
          <w:bCs/>
        </w:rPr>
        <w:t xml:space="preserve">, cellular highly vascularized stroma, hemorrhage, </w:t>
      </w:r>
      <w:r w:rsidR="00DF5142" w:rsidRPr="00386A88">
        <w:rPr>
          <w:rFonts w:ascii="Times New Roman" w:hAnsi="Times New Roman" w:cs="Times New Roman"/>
          <w:b/>
          <w:bCs/>
        </w:rPr>
        <w:t>hemosiderin</w:t>
      </w:r>
      <w:r w:rsidR="0099222C">
        <w:rPr>
          <w:rFonts w:ascii="Times New Roman" w:hAnsi="Times New Roman" w:cs="Times New Roman"/>
          <w:b/>
          <w:bCs/>
        </w:rPr>
        <w:t>-laden</w:t>
      </w:r>
      <w:r w:rsidR="00DF5142" w:rsidRPr="00386A88">
        <w:rPr>
          <w:rFonts w:ascii="Times New Roman" w:hAnsi="Times New Roman" w:cs="Times New Roman"/>
          <w:b/>
          <w:bCs/>
        </w:rPr>
        <w:t xml:space="preserve"> macrophages</w:t>
      </w:r>
      <w:r w:rsidR="0099222C">
        <w:rPr>
          <w:rFonts w:ascii="Times New Roman" w:hAnsi="Times New Roman" w:cs="Times New Roman"/>
          <w:b/>
          <w:bCs/>
        </w:rPr>
        <w:t>,</w:t>
      </w:r>
      <w:r w:rsidR="00DF5142" w:rsidRPr="00386A88">
        <w:rPr>
          <w:rFonts w:ascii="Times New Roman" w:hAnsi="Times New Roman" w:cs="Times New Roman"/>
          <w:b/>
          <w:bCs/>
        </w:rPr>
        <w:t xml:space="preserve"> covered by hyperplastic squamous epithelium.</w:t>
      </w:r>
    </w:p>
    <w:p w:rsidR="00AB595D" w:rsidRPr="00386A88" w:rsidRDefault="00AB595D" w:rsidP="00386A88">
      <w:pPr>
        <w:spacing w:after="0" w:line="240" w:lineRule="auto"/>
        <w:jc w:val="both"/>
        <w:rPr>
          <w:rFonts w:ascii="Times New Roman" w:hAnsi="Times New Roman" w:cs="Times New Roman"/>
          <w:sz w:val="24"/>
          <w:szCs w:val="24"/>
        </w:rPr>
      </w:pPr>
    </w:p>
    <w:p w:rsidR="00F93ED4" w:rsidRPr="00386A88" w:rsidRDefault="00F93ED4" w:rsidP="00386A88">
      <w:pPr>
        <w:spacing w:after="0" w:line="240" w:lineRule="auto"/>
        <w:jc w:val="both"/>
        <w:rPr>
          <w:rFonts w:ascii="Times New Roman" w:hAnsi="Times New Roman" w:cs="Times New Roman"/>
          <w:sz w:val="24"/>
          <w:szCs w:val="24"/>
        </w:rPr>
      </w:pPr>
    </w:p>
    <w:p w:rsidR="00184658" w:rsidRPr="00386A88" w:rsidRDefault="00184658" w:rsidP="00386A88">
      <w:pPr>
        <w:spacing w:after="0" w:line="240" w:lineRule="auto"/>
        <w:rPr>
          <w:rFonts w:ascii="Times New Roman" w:hAnsi="Times New Roman" w:cs="Times New Roman"/>
          <w:sz w:val="24"/>
          <w:szCs w:val="24"/>
        </w:rPr>
      </w:pPr>
      <w:r w:rsidRPr="00386A88">
        <w:rPr>
          <w:rFonts w:ascii="Times New Roman" w:hAnsi="Times New Roman" w:cs="Times New Roman"/>
          <w:b/>
          <w:bCs/>
          <w:sz w:val="24"/>
          <w:szCs w:val="24"/>
        </w:rPr>
        <w:t>References</w:t>
      </w:r>
    </w:p>
    <w:p w:rsidR="000003FA" w:rsidRPr="00386A88" w:rsidRDefault="000003FA">
      <w:pPr>
        <w:autoSpaceDE w:val="0"/>
        <w:autoSpaceDN w:val="0"/>
        <w:adjustRightInd w:val="0"/>
        <w:spacing w:after="0" w:line="240" w:lineRule="auto"/>
        <w:jc w:val="both"/>
        <w:rPr>
          <w:rFonts w:ascii="Times New Roman" w:hAnsi="Times New Roman" w:cs="Times New Roman"/>
          <w:sz w:val="24"/>
          <w:szCs w:val="24"/>
        </w:rPr>
      </w:pPr>
      <w:r w:rsidRPr="00386A88">
        <w:rPr>
          <w:rFonts w:ascii="Times New Roman" w:hAnsi="Times New Roman" w:cs="Times New Roman"/>
          <w:sz w:val="24"/>
          <w:szCs w:val="24"/>
        </w:rPr>
        <w:t>1</w:t>
      </w:r>
      <w:r w:rsidR="00224CEC">
        <w:rPr>
          <w:rFonts w:ascii="Times New Roman" w:hAnsi="Times New Roman" w:cs="Times New Roman"/>
          <w:sz w:val="24"/>
          <w:szCs w:val="24"/>
        </w:rPr>
        <w:t>.</w:t>
      </w:r>
      <w:r w:rsidRPr="00386A88">
        <w:rPr>
          <w:rFonts w:ascii="Times New Roman" w:hAnsi="Times New Roman" w:cs="Times New Roman"/>
          <w:sz w:val="24"/>
          <w:szCs w:val="24"/>
        </w:rPr>
        <w:t xml:space="preserve"> </w:t>
      </w:r>
      <w:r w:rsidR="00F93ED4" w:rsidRPr="00386A88">
        <w:rPr>
          <w:rFonts w:ascii="Times New Roman" w:hAnsi="Times New Roman" w:cs="Times New Roman"/>
          <w:sz w:val="24"/>
          <w:szCs w:val="24"/>
        </w:rPr>
        <w:t>Devi P, T Swaroopkanth, G Sudhakar, D</w:t>
      </w:r>
      <w:r w:rsidR="00547D19">
        <w:rPr>
          <w:rFonts w:ascii="Times New Roman" w:hAnsi="Times New Roman" w:cs="Times New Roman"/>
          <w:sz w:val="24"/>
          <w:szCs w:val="24"/>
        </w:rPr>
        <w:t xml:space="preserve"> </w:t>
      </w:r>
      <w:r w:rsidR="00F93ED4" w:rsidRPr="00386A88">
        <w:rPr>
          <w:rFonts w:ascii="Times New Roman" w:hAnsi="Times New Roman" w:cs="Times New Roman"/>
          <w:sz w:val="24"/>
          <w:szCs w:val="24"/>
        </w:rPr>
        <w:t>Kiranmai, R Sasank, D Sridharreddy et al. Central GiantCell Granuloma of Maxilla: A Case Report. Indian J</w:t>
      </w:r>
      <w:r w:rsidR="00547D19">
        <w:rPr>
          <w:rFonts w:ascii="Times New Roman" w:hAnsi="Times New Roman" w:cs="Times New Roman"/>
          <w:sz w:val="24"/>
          <w:szCs w:val="24"/>
        </w:rPr>
        <w:t xml:space="preserve"> </w:t>
      </w:r>
      <w:r w:rsidR="00F93ED4" w:rsidRPr="00386A88">
        <w:rPr>
          <w:rFonts w:ascii="Times New Roman" w:hAnsi="Times New Roman" w:cs="Times New Roman"/>
          <w:sz w:val="24"/>
          <w:szCs w:val="24"/>
        </w:rPr>
        <w:t>Otolaryngol Head Neck Surg.2013;65(Suppl1):S192-4.</w:t>
      </w:r>
    </w:p>
    <w:p w:rsidR="000003FA" w:rsidRPr="00386A88" w:rsidRDefault="000003FA">
      <w:pPr>
        <w:autoSpaceDE w:val="0"/>
        <w:autoSpaceDN w:val="0"/>
        <w:adjustRightInd w:val="0"/>
        <w:spacing w:after="0" w:line="240" w:lineRule="auto"/>
        <w:jc w:val="both"/>
        <w:rPr>
          <w:rFonts w:ascii="Times New Roman" w:hAnsi="Times New Roman" w:cs="Times New Roman"/>
          <w:sz w:val="24"/>
          <w:szCs w:val="24"/>
        </w:rPr>
      </w:pPr>
      <w:r w:rsidRPr="00386A88">
        <w:rPr>
          <w:rFonts w:ascii="Times New Roman" w:hAnsi="Times New Roman" w:cs="Times New Roman"/>
          <w:sz w:val="24"/>
          <w:szCs w:val="24"/>
        </w:rPr>
        <w:t>2</w:t>
      </w:r>
      <w:r w:rsidR="00224CEC">
        <w:rPr>
          <w:rFonts w:ascii="Times New Roman" w:hAnsi="Times New Roman" w:cs="Times New Roman"/>
          <w:sz w:val="24"/>
          <w:szCs w:val="24"/>
        </w:rPr>
        <w:t xml:space="preserve">. </w:t>
      </w:r>
      <w:r w:rsidRPr="00386A88">
        <w:rPr>
          <w:rFonts w:ascii="Times New Roman" w:hAnsi="Times New Roman" w:cs="Times New Roman"/>
          <w:sz w:val="24"/>
          <w:szCs w:val="24"/>
        </w:rPr>
        <w:t>Miloro M, Quinn PD. Synchronous Central Giant Cell Lesions of the Jaws: Report of a Case and Review of the Literature.</w:t>
      </w:r>
      <w:r w:rsidR="00547D19">
        <w:rPr>
          <w:rFonts w:ascii="Times New Roman" w:hAnsi="Times New Roman" w:cs="Times New Roman"/>
          <w:sz w:val="24"/>
          <w:szCs w:val="24"/>
        </w:rPr>
        <w:t xml:space="preserve"> </w:t>
      </w:r>
      <w:r w:rsidRPr="00386A88">
        <w:rPr>
          <w:rFonts w:ascii="Times New Roman" w:hAnsi="Times New Roman" w:cs="Times New Roman"/>
          <w:sz w:val="24"/>
          <w:szCs w:val="24"/>
        </w:rPr>
        <w:t>J</w:t>
      </w:r>
      <w:r w:rsidR="00547D19">
        <w:rPr>
          <w:rFonts w:ascii="Times New Roman" w:hAnsi="Times New Roman" w:cs="Times New Roman"/>
          <w:sz w:val="24"/>
          <w:szCs w:val="24"/>
        </w:rPr>
        <w:t xml:space="preserve"> </w:t>
      </w:r>
      <w:r w:rsidRPr="00386A88">
        <w:rPr>
          <w:rFonts w:ascii="Times New Roman" w:hAnsi="Times New Roman" w:cs="Times New Roman"/>
          <w:sz w:val="24"/>
          <w:szCs w:val="24"/>
        </w:rPr>
        <w:t>Oral Maxillofacial Surg</w:t>
      </w:r>
      <w:r w:rsidR="00547D19">
        <w:rPr>
          <w:rFonts w:ascii="Times New Roman" w:hAnsi="Times New Roman" w:cs="Times New Roman"/>
          <w:sz w:val="24"/>
          <w:szCs w:val="24"/>
        </w:rPr>
        <w:t xml:space="preserve"> </w:t>
      </w:r>
      <w:r w:rsidRPr="00386A88">
        <w:rPr>
          <w:rFonts w:ascii="Times New Roman" w:hAnsi="Times New Roman" w:cs="Times New Roman"/>
          <w:sz w:val="24"/>
          <w:szCs w:val="24"/>
        </w:rPr>
        <w:t>995;53:1350-55.</w:t>
      </w:r>
    </w:p>
    <w:p w:rsidR="004C3287" w:rsidRPr="00386A88" w:rsidRDefault="000003FA">
      <w:pPr>
        <w:autoSpaceDE w:val="0"/>
        <w:autoSpaceDN w:val="0"/>
        <w:adjustRightInd w:val="0"/>
        <w:spacing w:after="0" w:line="240" w:lineRule="auto"/>
        <w:jc w:val="both"/>
        <w:rPr>
          <w:rFonts w:ascii="Times New Roman" w:hAnsi="Times New Roman" w:cs="Times New Roman"/>
          <w:sz w:val="24"/>
          <w:szCs w:val="24"/>
        </w:rPr>
      </w:pPr>
      <w:r w:rsidRPr="00386A88">
        <w:rPr>
          <w:rFonts w:ascii="Times New Roman" w:hAnsi="Times New Roman" w:cs="Times New Roman"/>
          <w:sz w:val="24"/>
          <w:szCs w:val="24"/>
        </w:rPr>
        <w:lastRenderedPageBreak/>
        <w:t>3</w:t>
      </w:r>
      <w:r w:rsidR="00224CEC">
        <w:rPr>
          <w:rFonts w:ascii="Times New Roman" w:hAnsi="Times New Roman" w:cs="Times New Roman"/>
          <w:sz w:val="24"/>
          <w:szCs w:val="24"/>
        </w:rPr>
        <w:t xml:space="preserve">. </w:t>
      </w:r>
      <w:r w:rsidRPr="00386A88">
        <w:rPr>
          <w:rFonts w:ascii="Times New Roman" w:hAnsi="Times New Roman" w:cs="Times New Roman"/>
          <w:sz w:val="24"/>
          <w:szCs w:val="24"/>
        </w:rPr>
        <w:t>Vered M, Buchner A, Dayan D. Central giant cellgranuloma of the Jaw bones – new insights into molecular</w:t>
      </w:r>
      <w:r w:rsidR="00547D19">
        <w:rPr>
          <w:rFonts w:ascii="Times New Roman" w:hAnsi="Times New Roman" w:cs="Times New Roman"/>
          <w:sz w:val="24"/>
          <w:szCs w:val="24"/>
        </w:rPr>
        <w:t xml:space="preserve"> </w:t>
      </w:r>
      <w:r w:rsidRPr="00386A88">
        <w:rPr>
          <w:rFonts w:ascii="Times New Roman" w:hAnsi="Times New Roman" w:cs="Times New Roman"/>
          <w:sz w:val="24"/>
          <w:szCs w:val="24"/>
        </w:rPr>
        <w:t>biology with clinical implications on treatment approaches.</w:t>
      </w:r>
      <w:r w:rsidR="00547D19">
        <w:rPr>
          <w:rFonts w:ascii="Times New Roman" w:hAnsi="Times New Roman" w:cs="Times New Roman"/>
          <w:sz w:val="24"/>
          <w:szCs w:val="24"/>
        </w:rPr>
        <w:t xml:space="preserve"> </w:t>
      </w:r>
      <w:r w:rsidRPr="00386A88">
        <w:rPr>
          <w:rFonts w:ascii="Times New Roman" w:hAnsi="Times New Roman" w:cs="Times New Roman"/>
          <w:sz w:val="24"/>
          <w:szCs w:val="24"/>
        </w:rPr>
        <w:t>Histol. Histopathol 2008;23:1151-60.</w:t>
      </w:r>
    </w:p>
    <w:p w:rsidR="000003FA" w:rsidRPr="00386A88" w:rsidRDefault="000003FA" w:rsidP="00386A88">
      <w:pPr>
        <w:autoSpaceDE w:val="0"/>
        <w:autoSpaceDN w:val="0"/>
        <w:adjustRightInd w:val="0"/>
        <w:spacing w:after="0" w:line="240" w:lineRule="auto"/>
        <w:jc w:val="both"/>
        <w:rPr>
          <w:rFonts w:ascii="Times New Roman" w:hAnsi="Times New Roman" w:cs="Times New Roman"/>
          <w:sz w:val="24"/>
          <w:szCs w:val="24"/>
        </w:rPr>
      </w:pPr>
      <w:r w:rsidRPr="00386A88">
        <w:rPr>
          <w:rFonts w:ascii="Times New Roman" w:hAnsi="Times New Roman" w:cs="Times New Roman"/>
          <w:sz w:val="24"/>
          <w:szCs w:val="24"/>
        </w:rPr>
        <w:t>4</w:t>
      </w:r>
      <w:r w:rsidR="00224CEC">
        <w:rPr>
          <w:rFonts w:ascii="Times New Roman" w:hAnsi="Times New Roman" w:cs="Times New Roman"/>
          <w:sz w:val="24"/>
          <w:szCs w:val="24"/>
        </w:rPr>
        <w:t>.</w:t>
      </w:r>
      <w:r w:rsidRPr="00386A88">
        <w:rPr>
          <w:rFonts w:ascii="Times New Roman" w:hAnsi="Times New Roman" w:cs="Times New Roman"/>
          <w:sz w:val="24"/>
          <w:szCs w:val="24"/>
        </w:rPr>
        <w:t xml:space="preserve"> Bilodeau E, Chowdhury K, Collins B. A Caseof Recurrent: Multifocal Central Giant Cell Granulomas.</w:t>
      </w:r>
    </w:p>
    <w:p w:rsidR="000003FA" w:rsidRPr="00386A88" w:rsidRDefault="000003FA">
      <w:pPr>
        <w:autoSpaceDE w:val="0"/>
        <w:autoSpaceDN w:val="0"/>
        <w:adjustRightInd w:val="0"/>
        <w:spacing w:after="0" w:line="240" w:lineRule="auto"/>
        <w:jc w:val="both"/>
        <w:rPr>
          <w:rFonts w:ascii="Times New Roman" w:hAnsi="Times New Roman" w:cs="Times New Roman"/>
          <w:sz w:val="24"/>
          <w:szCs w:val="24"/>
        </w:rPr>
      </w:pPr>
      <w:r w:rsidRPr="00386A88">
        <w:rPr>
          <w:rFonts w:ascii="Times New Roman" w:hAnsi="Times New Roman" w:cs="Times New Roman"/>
          <w:sz w:val="24"/>
          <w:szCs w:val="24"/>
        </w:rPr>
        <w:t>Head and Neck Pathol 2009;3:174-78.</w:t>
      </w:r>
    </w:p>
    <w:p w:rsidR="000003FA" w:rsidRPr="00386A88" w:rsidRDefault="000003FA">
      <w:pPr>
        <w:autoSpaceDE w:val="0"/>
        <w:autoSpaceDN w:val="0"/>
        <w:adjustRightInd w:val="0"/>
        <w:spacing w:after="0" w:line="240" w:lineRule="auto"/>
        <w:jc w:val="both"/>
        <w:rPr>
          <w:rFonts w:ascii="Times New Roman" w:hAnsi="Times New Roman" w:cs="Times New Roman"/>
          <w:sz w:val="24"/>
          <w:szCs w:val="24"/>
        </w:rPr>
      </w:pPr>
      <w:r w:rsidRPr="00386A88">
        <w:rPr>
          <w:rFonts w:ascii="Times New Roman" w:hAnsi="Times New Roman" w:cs="Times New Roman"/>
          <w:sz w:val="24"/>
          <w:szCs w:val="24"/>
        </w:rPr>
        <w:t>5</w:t>
      </w:r>
      <w:r w:rsidR="00224CEC">
        <w:rPr>
          <w:rFonts w:ascii="Times New Roman" w:hAnsi="Times New Roman" w:cs="Times New Roman"/>
          <w:sz w:val="24"/>
          <w:szCs w:val="24"/>
        </w:rPr>
        <w:t xml:space="preserve">. </w:t>
      </w:r>
      <w:r w:rsidRPr="00386A88">
        <w:rPr>
          <w:rFonts w:ascii="Times New Roman" w:hAnsi="Times New Roman" w:cs="Times New Roman"/>
          <w:sz w:val="24"/>
          <w:szCs w:val="24"/>
        </w:rPr>
        <w:t>Regezi JA. Odontogenic cysts, odontogenic tumors, fibroosseous, and giant cell lesions of the jaws. Mod Pathol 2002;15:331–341.</w:t>
      </w:r>
    </w:p>
    <w:p w:rsidR="000003FA" w:rsidRPr="00386A88" w:rsidRDefault="000003FA">
      <w:pPr>
        <w:autoSpaceDE w:val="0"/>
        <w:autoSpaceDN w:val="0"/>
        <w:adjustRightInd w:val="0"/>
        <w:spacing w:after="0" w:line="240" w:lineRule="auto"/>
        <w:jc w:val="both"/>
        <w:rPr>
          <w:rFonts w:ascii="Times New Roman" w:hAnsi="Times New Roman" w:cs="Times New Roman"/>
          <w:sz w:val="24"/>
          <w:szCs w:val="24"/>
        </w:rPr>
      </w:pPr>
      <w:r w:rsidRPr="00386A88">
        <w:rPr>
          <w:rFonts w:ascii="Times New Roman" w:hAnsi="Times New Roman" w:cs="Times New Roman"/>
          <w:sz w:val="24"/>
          <w:szCs w:val="24"/>
        </w:rPr>
        <w:t>6</w:t>
      </w:r>
      <w:r w:rsidR="00224CEC">
        <w:rPr>
          <w:rFonts w:ascii="Times New Roman" w:hAnsi="Times New Roman" w:cs="Times New Roman"/>
          <w:sz w:val="24"/>
          <w:szCs w:val="24"/>
        </w:rPr>
        <w:t xml:space="preserve">. </w:t>
      </w:r>
      <w:r w:rsidRPr="00386A88">
        <w:rPr>
          <w:rFonts w:ascii="Times New Roman" w:hAnsi="Times New Roman" w:cs="Times New Roman"/>
          <w:sz w:val="24"/>
          <w:szCs w:val="24"/>
        </w:rPr>
        <w:t>Neville BW, Damm DD, Allen CM, Bouquot JE. Oral and maxillofacial pathology. 2nd ed. Philadelphia, PA: WB Saunders, 2002;522–525,695– 697.</w:t>
      </w:r>
    </w:p>
    <w:p w:rsidR="000003FA" w:rsidRPr="00386A88" w:rsidRDefault="000003FA">
      <w:pPr>
        <w:autoSpaceDE w:val="0"/>
        <w:autoSpaceDN w:val="0"/>
        <w:adjustRightInd w:val="0"/>
        <w:spacing w:after="0" w:line="240" w:lineRule="auto"/>
        <w:jc w:val="both"/>
        <w:rPr>
          <w:rFonts w:ascii="Times New Roman" w:hAnsi="Times New Roman" w:cs="Times New Roman"/>
          <w:sz w:val="24"/>
          <w:szCs w:val="24"/>
        </w:rPr>
      </w:pPr>
      <w:r w:rsidRPr="00386A88">
        <w:rPr>
          <w:rFonts w:ascii="Times New Roman" w:hAnsi="Times New Roman" w:cs="Times New Roman"/>
          <w:sz w:val="24"/>
          <w:szCs w:val="24"/>
        </w:rPr>
        <w:t>7</w:t>
      </w:r>
      <w:r w:rsidR="00224CEC">
        <w:rPr>
          <w:rFonts w:ascii="Times New Roman" w:hAnsi="Times New Roman" w:cs="Times New Roman"/>
          <w:sz w:val="24"/>
          <w:szCs w:val="24"/>
        </w:rPr>
        <w:t xml:space="preserve">. </w:t>
      </w:r>
      <w:r w:rsidRPr="00386A88">
        <w:rPr>
          <w:rFonts w:ascii="Times New Roman" w:hAnsi="Times New Roman" w:cs="Times New Roman"/>
          <w:sz w:val="24"/>
          <w:szCs w:val="24"/>
        </w:rPr>
        <w:t>Goaz PW, White SC. Oral radiology: principles and interpretation. 3rd ed. St. Louis, MO: CV Mosby, 1994;514–518,536–537.</w:t>
      </w:r>
    </w:p>
    <w:p w:rsidR="000003FA" w:rsidRPr="00386A88" w:rsidRDefault="000003FA">
      <w:pPr>
        <w:autoSpaceDE w:val="0"/>
        <w:autoSpaceDN w:val="0"/>
        <w:adjustRightInd w:val="0"/>
        <w:spacing w:after="0" w:line="240" w:lineRule="auto"/>
        <w:jc w:val="both"/>
        <w:rPr>
          <w:rFonts w:ascii="Times New Roman" w:hAnsi="Times New Roman" w:cs="Times New Roman"/>
          <w:sz w:val="24"/>
          <w:szCs w:val="24"/>
        </w:rPr>
      </w:pPr>
      <w:r w:rsidRPr="00386A88">
        <w:rPr>
          <w:rFonts w:ascii="Times New Roman" w:hAnsi="Times New Roman" w:cs="Times New Roman"/>
          <w:sz w:val="24"/>
          <w:szCs w:val="24"/>
        </w:rPr>
        <w:t>8</w:t>
      </w:r>
      <w:r w:rsidR="00224CEC">
        <w:rPr>
          <w:rFonts w:ascii="Times New Roman" w:hAnsi="Times New Roman" w:cs="Times New Roman"/>
          <w:sz w:val="24"/>
          <w:szCs w:val="24"/>
        </w:rPr>
        <w:t>.</w:t>
      </w:r>
      <w:r w:rsidRPr="00386A88">
        <w:rPr>
          <w:rFonts w:ascii="Times New Roman" w:hAnsi="Times New Roman" w:cs="Times New Roman"/>
          <w:sz w:val="24"/>
          <w:szCs w:val="24"/>
        </w:rPr>
        <w:t xml:space="preserve"> Horner K. Central giant cell granuloma of the jaws: a clinico-radiological study. Clin Radiol 1989;40:622–626.</w:t>
      </w:r>
    </w:p>
    <w:p w:rsidR="000003FA" w:rsidRPr="00386A88" w:rsidRDefault="000003FA">
      <w:pPr>
        <w:autoSpaceDE w:val="0"/>
        <w:autoSpaceDN w:val="0"/>
        <w:adjustRightInd w:val="0"/>
        <w:spacing w:after="0" w:line="240" w:lineRule="auto"/>
        <w:jc w:val="both"/>
        <w:rPr>
          <w:rFonts w:ascii="Times New Roman" w:hAnsi="Times New Roman" w:cs="Times New Roman"/>
          <w:sz w:val="24"/>
          <w:szCs w:val="24"/>
        </w:rPr>
      </w:pPr>
      <w:r w:rsidRPr="00386A88">
        <w:rPr>
          <w:rFonts w:ascii="Times New Roman" w:hAnsi="Times New Roman" w:cs="Times New Roman"/>
          <w:sz w:val="24"/>
          <w:szCs w:val="24"/>
        </w:rPr>
        <w:t>9</w:t>
      </w:r>
      <w:r w:rsidR="00224CEC">
        <w:rPr>
          <w:rFonts w:ascii="Times New Roman" w:hAnsi="Times New Roman" w:cs="Times New Roman"/>
          <w:sz w:val="24"/>
          <w:szCs w:val="24"/>
        </w:rPr>
        <w:t xml:space="preserve">. </w:t>
      </w:r>
      <w:r w:rsidRPr="00386A88">
        <w:rPr>
          <w:rFonts w:ascii="Times New Roman" w:hAnsi="Times New Roman" w:cs="Times New Roman"/>
          <w:sz w:val="24"/>
          <w:szCs w:val="24"/>
        </w:rPr>
        <w:t>Sidhu MS, Parkash H, Sidhu SS. Central giant cell granuloma of jaws: review of 19 cases. Br J Oral Maxillofac Surg 1995;33:43–46.</w:t>
      </w:r>
    </w:p>
    <w:p w:rsidR="000003FA" w:rsidRPr="00386A88" w:rsidRDefault="000003FA">
      <w:pPr>
        <w:autoSpaceDE w:val="0"/>
        <w:autoSpaceDN w:val="0"/>
        <w:adjustRightInd w:val="0"/>
        <w:spacing w:after="0" w:line="240" w:lineRule="auto"/>
        <w:jc w:val="both"/>
        <w:rPr>
          <w:rFonts w:ascii="Times New Roman" w:hAnsi="Times New Roman" w:cs="Times New Roman"/>
          <w:sz w:val="24"/>
          <w:szCs w:val="24"/>
        </w:rPr>
      </w:pPr>
      <w:r w:rsidRPr="00386A88">
        <w:rPr>
          <w:rFonts w:ascii="Times New Roman" w:hAnsi="Times New Roman" w:cs="Times New Roman"/>
          <w:sz w:val="24"/>
          <w:szCs w:val="24"/>
        </w:rPr>
        <w:t>10</w:t>
      </w:r>
      <w:r w:rsidR="00224CEC">
        <w:rPr>
          <w:rFonts w:ascii="Times New Roman" w:hAnsi="Times New Roman" w:cs="Times New Roman"/>
          <w:sz w:val="24"/>
          <w:szCs w:val="24"/>
        </w:rPr>
        <w:t>.</w:t>
      </w:r>
      <w:r w:rsidRPr="00386A88">
        <w:rPr>
          <w:rFonts w:ascii="Times New Roman" w:hAnsi="Times New Roman" w:cs="Times New Roman"/>
          <w:sz w:val="24"/>
          <w:szCs w:val="24"/>
        </w:rPr>
        <w:t xml:space="preserve"> Cohen MA, Hertzanu Y. Radiologic features, including those seen with computed tomography, of central giant cell granuloma of the jaws. Oral Surg Oral Med Oral Pathol 1988;65:255–261.</w:t>
      </w:r>
    </w:p>
    <w:p w:rsidR="000003FA" w:rsidRPr="00386A88" w:rsidRDefault="000003FA">
      <w:pPr>
        <w:autoSpaceDE w:val="0"/>
        <w:autoSpaceDN w:val="0"/>
        <w:adjustRightInd w:val="0"/>
        <w:spacing w:after="0" w:line="240" w:lineRule="auto"/>
        <w:jc w:val="both"/>
        <w:rPr>
          <w:rFonts w:ascii="Times New Roman" w:hAnsi="Times New Roman" w:cs="Times New Roman"/>
          <w:sz w:val="24"/>
          <w:szCs w:val="24"/>
        </w:rPr>
      </w:pPr>
      <w:r w:rsidRPr="00386A88">
        <w:rPr>
          <w:rFonts w:ascii="Times New Roman" w:hAnsi="Times New Roman" w:cs="Times New Roman"/>
          <w:sz w:val="24"/>
          <w:szCs w:val="24"/>
        </w:rPr>
        <w:t>11</w:t>
      </w:r>
      <w:r w:rsidR="00224CEC">
        <w:rPr>
          <w:rFonts w:ascii="Times New Roman" w:hAnsi="Times New Roman" w:cs="Times New Roman"/>
          <w:sz w:val="24"/>
          <w:szCs w:val="24"/>
        </w:rPr>
        <w:t xml:space="preserve">. </w:t>
      </w:r>
      <w:r w:rsidRPr="00386A88">
        <w:rPr>
          <w:rFonts w:ascii="Times New Roman" w:hAnsi="Times New Roman" w:cs="Times New Roman"/>
          <w:sz w:val="24"/>
          <w:szCs w:val="24"/>
        </w:rPr>
        <w:t>Whitaker SB, Waldron CA. Central giant cell lesions of the jaws. A clinical, radiologic, and histopathologic study. Oral Surg Oral Med Oral Pathol 1993;75:199–208.</w:t>
      </w:r>
    </w:p>
    <w:p w:rsidR="00812C1F" w:rsidRPr="00386A88" w:rsidRDefault="00812C1F">
      <w:pPr>
        <w:autoSpaceDE w:val="0"/>
        <w:autoSpaceDN w:val="0"/>
        <w:adjustRightInd w:val="0"/>
        <w:spacing w:after="0" w:line="240" w:lineRule="auto"/>
        <w:jc w:val="both"/>
        <w:rPr>
          <w:rFonts w:ascii="Times New Roman" w:hAnsi="Times New Roman" w:cs="Times New Roman"/>
          <w:sz w:val="24"/>
          <w:szCs w:val="24"/>
        </w:rPr>
      </w:pPr>
      <w:r w:rsidRPr="00386A88">
        <w:rPr>
          <w:rFonts w:ascii="Times New Roman" w:hAnsi="Times New Roman" w:cs="Times New Roman"/>
          <w:sz w:val="24"/>
          <w:szCs w:val="24"/>
        </w:rPr>
        <w:t>12</w:t>
      </w:r>
      <w:r w:rsidR="00224CEC">
        <w:rPr>
          <w:rFonts w:ascii="Times New Roman" w:hAnsi="Times New Roman" w:cs="Times New Roman"/>
          <w:sz w:val="24"/>
          <w:szCs w:val="24"/>
        </w:rPr>
        <w:t xml:space="preserve">. </w:t>
      </w:r>
      <w:r w:rsidRPr="00386A88">
        <w:rPr>
          <w:rFonts w:ascii="Times New Roman" w:hAnsi="Times New Roman" w:cs="Times New Roman"/>
          <w:sz w:val="24"/>
          <w:szCs w:val="24"/>
        </w:rPr>
        <w:t>Goshen O, Aviel-Ronen S, Dori S, Talmi YP. Brown tumour of hyperparathyroidism in the mandible associated with atypical parathyroid adenoma. J Laryngol Otol 2000;114:302–304.</w:t>
      </w:r>
    </w:p>
    <w:p w:rsidR="00812C1F" w:rsidRPr="00386A88" w:rsidRDefault="00812C1F">
      <w:pPr>
        <w:autoSpaceDE w:val="0"/>
        <w:autoSpaceDN w:val="0"/>
        <w:adjustRightInd w:val="0"/>
        <w:spacing w:after="0" w:line="240" w:lineRule="auto"/>
        <w:jc w:val="both"/>
        <w:rPr>
          <w:rFonts w:ascii="Times New Roman" w:hAnsi="Times New Roman" w:cs="Times New Roman"/>
          <w:sz w:val="24"/>
          <w:szCs w:val="24"/>
        </w:rPr>
      </w:pPr>
      <w:r w:rsidRPr="00386A88">
        <w:rPr>
          <w:rFonts w:ascii="Times New Roman" w:hAnsi="Times New Roman" w:cs="Times New Roman"/>
          <w:sz w:val="24"/>
          <w:szCs w:val="24"/>
        </w:rPr>
        <w:t>13</w:t>
      </w:r>
      <w:r w:rsidR="00224CEC">
        <w:rPr>
          <w:rFonts w:ascii="Times New Roman" w:hAnsi="Times New Roman" w:cs="Times New Roman"/>
          <w:sz w:val="24"/>
          <w:szCs w:val="24"/>
        </w:rPr>
        <w:t xml:space="preserve">. </w:t>
      </w:r>
      <w:r w:rsidRPr="00386A88">
        <w:rPr>
          <w:rFonts w:ascii="Times New Roman" w:hAnsi="Times New Roman" w:cs="Times New Roman"/>
          <w:sz w:val="24"/>
          <w:szCs w:val="24"/>
        </w:rPr>
        <w:t>Kaffe I, Ardekian L, Taicher S, Littner MM, Buchner A. Radiologic features of central giant cell granuloma of the jaws. Oral Surg Oral Med Oral Pathol Oral Radiol Endod 1996;81:720–726.</w:t>
      </w:r>
    </w:p>
    <w:p w:rsidR="00812C1F" w:rsidRPr="00386A88" w:rsidRDefault="00812C1F">
      <w:pPr>
        <w:autoSpaceDE w:val="0"/>
        <w:autoSpaceDN w:val="0"/>
        <w:adjustRightInd w:val="0"/>
        <w:spacing w:after="0" w:line="240" w:lineRule="auto"/>
        <w:jc w:val="both"/>
        <w:rPr>
          <w:rFonts w:ascii="Times New Roman" w:hAnsi="Times New Roman" w:cs="Times New Roman"/>
          <w:sz w:val="24"/>
          <w:szCs w:val="24"/>
        </w:rPr>
      </w:pPr>
      <w:r w:rsidRPr="00386A88">
        <w:rPr>
          <w:rFonts w:ascii="Times New Roman" w:hAnsi="Times New Roman" w:cs="Times New Roman"/>
          <w:sz w:val="24"/>
          <w:szCs w:val="24"/>
        </w:rPr>
        <w:t>14</w:t>
      </w:r>
      <w:r w:rsidR="00224CEC">
        <w:rPr>
          <w:rFonts w:ascii="Times New Roman" w:hAnsi="Times New Roman" w:cs="Times New Roman"/>
          <w:sz w:val="24"/>
          <w:szCs w:val="24"/>
        </w:rPr>
        <w:t xml:space="preserve">. </w:t>
      </w:r>
      <w:r w:rsidRPr="00386A88">
        <w:rPr>
          <w:rFonts w:ascii="Times New Roman" w:hAnsi="Times New Roman" w:cs="Times New Roman"/>
          <w:sz w:val="24"/>
          <w:szCs w:val="24"/>
        </w:rPr>
        <w:t>Miniƒ A, Staj…iƒ Z. Prognostic significance of cortical perforation in the recurrence of central giant cell granulomas of the jaws. J Craniomaxillofac Surg 1996;24:104–108.</w:t>
      </w:r>
    </w:p>
    <w:p w:rsidR="00812C1F" w:rsidRPr="00386A88" w:rsidRDefault="00812C1F" w:rsidP="00386A88">
      <w:pPr>
        <w:autoSpaceDE w:val="0"/>
        <w:autoSpaceDN w:val="0"/>
        <w:adjustRightInd w:val="0"/>
        <w:spacing w:after="0" w:line="240" w:lineRule="auto"/>
        <w:jc w:val="both"/>
        <w:rPr>
          <w:rFonts w:ascii="Times New Roman" w:hAnsi="Times New Roman" w:cs="Times New Roman"/>
          <w:sz w:val="24"/>
          <w:szCs w:val="24"/>
        </w:rPr>
      </w:pPr>
      <w:r w:rsidRPr="00386A88">
        <w:rPr>
          <w:rFonts w:ascii="Times New Roman" w:hAnsi="Times New Roman" w:cs="Times New Roman"/>
          <w:sz w:val="24"/>
          <w:szCs w:val="24"/>
        </w:rPr>
        <w:t>15</w:t>
      </w:r>
      <w:r w:rsidR="00224CEC">
        <w:rPr>
          <w:rFonts w:ascii="Times New Roman" w:hAnsi="Times New Roman" w:cs="Times New Roman"/>
          <w:sz w:val="24"/>
          <w:szCs w:val="24"/>
        </w:rPr>
        <w:t xml:space="preserve">. </w:t>
      </w:r>
      <w:r w:rsidRPr="00386A88">
        <w:rPr>
          <w:rFonts w:ascii="Times New Roman" w:hAnsi="Times New Roman" w:cs="Times New Roman"/>
          <w:sz w:val="24"/>
          <w:szCs w:val="24"/>
        </w:rPr>
        <w:t>Austin LT Jr, Dahlin DC, Royer RQ. Giant-cell reparative granuloma and related conditions affecting the jawbones. Oral Surg Oral Med Oral Pathol 1959;12:1285–1295.60.</w:t>
      </w:r>
    </w:p>
    <w:p w:rsidR="00812C1F" w:rsidRPr="00386A88" w:rsidRDefault="00812C1F" w:rsidP="00386A88">
      <w:pPr>
        <w:autoSpaceDE w:val="0"/>
        <w:autoSpaceDN w:val="0"/>
        <w:adjustRightInd w:val="0"/>
        <w:spacing w:after="0" w:line="240" w:lineRule="auto"/>
        <w:jc w:val="both"/>
        <w:rPr>
          <w:rFonts w:ascii="Times New Roman" w:hAnsi="Times New Roman" w:cs="Times New Roman"/>
          <w:sz w:val="24"/>
          <w:szCs w:val="24"/>
        </w:rPr>
      </w:pPr>
      <w:r w:rsidRPr="00386A88">
        <w:rPr>
          <w:rFonts w:ascii="Times New Roman" w:hAnsi="Times New Roman" w:cs="Times New Roman"/>
          <w:sz w:val="24"/>
          <w:szCs w:val="24"/>
        </w:rPr>
        <w:t>16</w:t>
      </w:r>
      <w:r w:rsidR="00224CEC">
        <w:rPr>
          <w:rFonts w:ascii="Times New Roman" w:hAnsi="Times New Roman" w:cs="Times New Roman"/>
          <w:sz w:val="24"/>
          <w:szCs w:val="24"/>
        </w:rPr>
        <w:t xml:space="preserve">. </w:t>
      </w:r>
      <w:r w:rsidRPr="00386A88">
        <w:rPr>
          <w:rFonts w:ascii="Times New Roman" w:hAnsi="Times New Roman" w:cs="Times New Roman"/>
          <w:sz w:val="24"/>
          <w:szCs w:val="24"/>
        </w:rPr>
        <w:t>Auclair PL, Cuenin P, Kratochvil FJ, Slater LJ, Ellis GL. A clinical and histomorphologic comparison of the central giant cell granuloma and the giant cell tumor. Oral Surg Oral Med Oral Pathol1988;66:197–208.</w:t>
      </w:r>
    </w:p>
    <w:p w:rsidR="00812C1F" w:rsidRPr="00386A88" w:rsidRDefault="00812C1F" w:rsidP="00386A88">
      <w:pPr>
        <w:autoSpaceDE w:val="0"/>
        <w:autoSpaceDN w:val="0"/>
        <w:adjustRightInd w:val="0"/>
        <w:spacing w:after="0" w:line="240" w:lineRule="auto"/>
        <w:jc w:val="both"/>
        <w:rPr>
          <w:rFonts w:ascii="Times New Roman" w:hAnsi="Times New Roman" w:cs="Times New Roman"/>
          <w:sz w:val="24"/>
          <w:szCs w:val="24"/>
        </w:rPr>
      </w:pPr>
      <w:r w:rsidRPr="00386A88">
        <w:rPr>
          <w:rFonts w:ascii="Times New Roman" w:hAnsi="Times New Roman" w:cs="Times New Roman"/>
          <w:sz w:val="24"/>
          <w:szCs w:val="24"/>
        </w:rPr>
        <w:t>17</w:t>
      </w:r>
      <w:r w:rsidR="00224CEC">
        <w:rPr>
          <w:rFonts w:ascii="Times New Roman" w:hAnsi="Times New Roman" w:cs="Times New Roman"/>
          <w:sz w:val="24"/>
          <w:szCs w:val="24"/>
        </w:rPr>
        <w:t>.</w:t>
      </w:r>
      <w:r w:rsidRPr="00386A88">
        <w:rPr>
          <w:rFonts w:ascii="Times New Roman" w:hAnsi="Times New Roman" w:cs="Times New Roman"/>
          <w:sz w:val="24"/>
          <w:szCs w:val="24"/>
        </w:rPr>
        <w:t xml:space="preserve"> Bataineh AB, Al-Khateeb T, Rawashdeh MA. The surgical treatment of central giant cell granuloma of the mandible. J Oral Maxillofac Surg 2002;60: 756–761.</w:t>
      </w:r>
    </w:p>
    <w:p w:rsidR="00812C1F" w:rsidRDefault="00812C1F" w:rsidP="00386A88">
      <w:pPr>
        <w:autoSpaceDE w:val="0"/>
        <w:autoSpaceDN w:val="0"/>
        <w:adjustRightInd w:val="0"/>
        <w:spacing w:after="0" w:line="240" w:lineRule="auto"/>
        <w:jc w:val="both"/>
        <w:rPr>
          <w:rFonts w:ascii="Times New Roman" w:hAnsi="Times New Roman" w:cs="Times New Roman"/>
          <w:sz w:val="24"/>
          <w:szCs w:val="24"/>
        </w:rPr>
      </w:pPr>
      <w:r w:rsidRPr="00386A88">
        <w:rPr>
          <w:rFonts w:ascii="Times New Roman" w:hAnsi="Times New Roman" w:cs="Times New Roman"/>
          <w:sz w:val="24"/>
          <w:szCs w:val="24"/>
        </w:rPr>
        <w:t>18</w:t>
      </w:r>
      <w:r w:rsidR="00224CEC">
        <w:rPr>
          <w:rFonts w:ascii="Times New Roman" w:hAnsi="Times New Roman" w:cs="Times New Roman"/>
          <w:sz w:val="24"/>
          <w:szCs w:val="24"/>
        </w:rPr>
        <w:t>.</w:t>
      </w:r>
      <w:r w:rsidRPr="00386A88">
        <w:rPr>
          <w:rFonts w:ascii="Times New Roman" w:hAnsi="Times New Roman" w:cs="Times New Roman"/>
          <w:sz w:val="24"/>
          <w:szCs w:val="24"/>
        </w:rPr>
        <w:t xml:space="preserve"> Chuong R, Kaban LB, Kozakewich H, PerezAtayde A. Central giant cell lesions of the jaws: a clinicopathologic study. J Oral Maxillofac Surg 1986;44:708–713.</w:t>
      </w:r>
    </w:p>
    <w:p w:rsidR="007065C6" w:rsidRDefault="007065C6" w:rsidP="00386A8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7065C6" w:rsidRDefault="007065C6" w:rsidP="00386A88">
      <w:pPr>
        <w:autoSpaceDE w:val="0"/>
        <w:autoSpaceDN w:val="0"/>
        <w:adjustRightInd w:val="0"/>
        <w:spacing w:after="0" w:line="240" w:lineRule="auto"/>
        <w:jc w:val="both"/>
        <w:rPr>
          <w:rFonts w:ascii="Times New Roman" w:hAnsi="Times New Roman" w:cs="Times New Roman"/>
          <w:sz w:val="24"/>
          <w:szCs w:val="24"/>
        </w:rPr>
      </w:pPr>
    </w:p>
    <w:p w:rsidR="007065C6" w:rsidRDefault="00BE6B05" w:rsidP="00E71EA1">
      <w:pPr>
        <w:autoSpaceDE w:val="0"/>
        <w:autoSpaceDN w:val="0"/>
        <w:adjustRightInd w:val="0"/>
        <w:spacing w:after="0" w:line="240" w:lineRule="auto"/>
        <w:jc w:val="center"/>
      </w:pPr>
      <w:r>
        <w:rPr>
          <w:noProof/>
        </w:rPr>
        <mc:AlternateContent>
          <mc:Choice Requires="wpg">
            <w:drawing>
              <wp:inline distT="0" distB="0" distL="0" distR="0">
                <wp:extent cx="3975735" cy="25400"/>
                <wp:effectExtent l="0" t="0" r="0" b="0"/>
                <wp:docPr id="3"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4"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267D6F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" strokecolor="#004080" strokeweight="2pt"/>
                <w10:anchorlock/>
              </v:group>
            </w:pict>
          </mc:Fallback>
        </mc:AlternateContent>
      </w:r>
    </w:p>
    <w:p w:rsidR="00E71EA1" w:rsidRDefault="00E71EA1" w:rsidP="00E71EA1">
      <w:pPr>
        <w:autoSpaceDE w:val="0"/>
        <w:autoSpaceDN w:val="0"/>
        <w:adjustRightInd w:val="0"/>
        <w:spacing w:after="0" w:line="240" w:lineRule="auto"/>
        <w:jc w:val="both"/>
      </w:pPr>
    </w:p>
    <w:p w:rsidR="00FA3FBD" w:rsidRDefault="00BE6B05" w:rsidP="00FA3FBD">
      <w:pPr>
        <w:spacing w:before="41" w:line="154" w:lineRule="exact"/>
        <w:ind w:left="213" w:right="231"/>
        <w:jc w:val="both"/>
        <w:rPr>
          <w:rFonts w:ascii="Arial" w:hint="cs"/>
          <w:sz w:val="14"/>
          <w:rtl/>
          <w:lang w:bidi="fa-IR"/>
        </w:rPr>
      </w:pPr>
      <w:r w:rsidRPr="00BE6B05">
        <w:rPr>
          <w:noProof/>
        </w:rPr>
        <w:drawing>
          <wp:anchor distT="0" distB="0" distL="114300" distR="114300" simplePos="0" relativeHeight="251658240" behindDoc="0" locked="0" layoutInCell="1" allowOverlap="1">
            <wp:simplePos x="914400" y="8086725"/>
            <wp:positionH relativeFrom="column">
              <wp:align>left</wp:align>
            </wp:positionH>
            <wp:positionV relativeFrom="paragraph">
              <wp:align>top</wp:align>
            </wp:positionV>
            <wp:extent cx="685800" cy="904875"/>
            <wp:effectExtent l="0" t="0" r="0" b="0"/>
            <wp:wrapSquare wrapText="bothSides"/>
            <wp:docPr id="2" name="Picture 2" descr="C:\Users\WINDOWS 10\Downloads\001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INDOWS 10\Downloads\001 (3).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85800" cy="904875"/>
                    </a:xfrm>
                    <a:prstGeom prst="rect">
                      <a:avLst/>
                    </a:prstGeom>
                    <a:noFill/>
                    <a:ln>
                      <a:noFill/>
                    </a:ln>
                  </pic:spPr>
                </pic:pic>
              </a:graphicData>
            </a:graphic>
          </wp:anchor>
        </w:drawing>
      </w:r>
      <w:r>
        <w:t xml:space="preserve">Biography: </w:t>
      </w:r>
      <w:r w:rsidR="00FA3FBD">
        <w:rPr>
          <w:rFonts w:ascii="Arial"/>
          <w:sz w:val="14"/>
        </w:rPr>
        <w:t>Ava Nikbin</w:t>
      </w:r>
      <w:r w:rsidR="00FA3FBD">
        <w:rPr>
          <w:rFonts w:ascii="Arial"/>
          <w:sz w:val="14"/>
        </w:rPr>
        <w:t xml:space="preserve"> has her expertise in </w:t>
      </w:r>
      <w:r w:rsidR="00FA3FBD">
        <w:rPr>
          <w:rFonts w:ascii="Arial"/>
          <w:sz w:val="14"/>
        </w:rPr>
        <w:t>oral and maxillofacial radiology as a postgraduate student</w:t>
      </w:r>
      <w:r w:rsidR="00FA3FBD">
        <w:rPr>
          <w:rFonts w:ascii="Arial"/>
          <w:sz w:val="14"/>
        </w:rPr>
        <w:t>.</w:t>
      </w:r>
      <w:r w:rsidR="00FA3FBD">
        <w:rPr>
          <w:rFonts w:ascii="Arial"/>
          <w:sz w:val="14"/>
        </w:rPr>
        <w:t xml:space="preserve"> Here presented a case that is fallowed for several month. This is an unusual case of central giant cell granuloma with extensive manner. This case is try to treated with denosumab that will be presented later after 1 year fallow up. This is a case of </w:t>
      </w:r>
      <w:r w:rsidR="00755A13">
        <w:rPr>
          <w:rFonts w:ascii="Arial"/>
          <w:sz w:val="14"/>
        </w:rPr>
        <w:t>unusual CGCG.</w:t>
      </w:r>
    </w:p>
    <w:p w:rsidR="00E71EA1" w:rsidRDefault="00BE6B05" w:rsidP="00FA3FBD">
      <w:pPr>
        <w:autoSpaceDE w:val="0"/>
        <w:autoSpaceDN w:val="0"/>
        <w:adjustRightInd w:val="0"/>
        <w:spacing w:after="0" w:line="240" w:lineRule="auto"/>
      </w:pPr>
      <w:r>
        <w:br w:type="textWrapping" w:clear="all"/>
      </w:r>
    </w:p>
    <w:p w:rsidR="00E71EA1" w:rsidRDefault="00E71EA1" w:rsidP="00E71EA1">
      <w:pPr>
        <w:autoSpaceDE w:val="0"/>
        <w:autoSpaceDN w:val="0"/>
        <w:adjustRightInd w:val="0"/>
        <w:spacing w:after="0" w:line="240" w:lineRule="auto"/>
        <w:jc w:val="both"/>
      </w:pPr>
      <w:bookmarkStart w:id="0" w:name="_GoBack"/>
      <w:bookmarkEnd w:id="0"/>
    </w:p>
    <w:p w:rsidR="00E71EA1" w:rsidRDefault="00E71EA1" w:rsidP="00E71EA1">
      <w:pPr>
        <w:autoSpaceDE w:val="0"/>
        <w:autoSpaceDN w:val="0"/>
        <w:adjustRightInd w:val="0"/>
        <w:spacing w:after="0" w:line="240" w:lineRule="auto"/>
        <w:jc w:val="both"/>
      </w:pPr>
    </w:p>
    <w:p w:rsidR="00E71EA1" w:rsidRPr="00386A88" w:rsidRDefault="00E71EA1" w:rsidP="00E71EA1">
      <w:pPr>
        <w:autoSpaceDE w:val="0"/>
        <w:autoSpaceDN w:val="0"/>
        <w:adjustRightInd w:val="0"/>
        <w:spacing w:after="0" w:line="240" w:lineRule="auto"/>
        <w:jc w:val="both"/>
        <w:rPr>
          <w:rFonts w:ascii="Times New Roman" w:hAnsi="Times New Roman" w:cs="Times New Roman"/>
          <w:sz w:val="24"/>
          <w:szCs w:val="24"/>
        </w:rPr>
      </w:pPr>
    </w:p>
    <w:sectPr w:rsidR="00E71EA1" w:rsidRPr="00386A88" w:rsidSect="000C4CB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4632" w:rsidRDefault="00D84632" w:rsidP="00DC3D67">
      <w:pPr>
        <w:spacing w:after="0" w:line="240" w:lineRule="auto"/>
      </w:pPr>
      <w:r>
        <w:separator/>
      </w:r>
    </w:p>
  </w:endnote>
  <w:endnote w:type="continuationSeparator" w:id="0">
    <w:p w:rsidR="00D84632" w:rsidRDefault="00D84632" w:rsidP="00DC3D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4632" w:rsidRDefault="00D84632" w:rsidP="00DC3D67">
      <w:pPr>
        <w:spacing w:after="0" w:line="240" w:lineRule="auto"/>
      </w:pPr>
      <w:r>
        <w:separator/>
      </w:r>
    </w:p>
  </w:footnote>
  <w:footnote w:type="continuationSeparator" w:id="0">
    <w:p w:rsidR="00D84632" w:rsidRDefault="00D84632" w:rsidP="00DC3D6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600B21"/>
    <w:multiLevelType w:val="hybridMultilevel"/>
    <w:tmpl w:val="D4BE33BE"/>
    <w:lvl w:ilvl="0" w:tplc="302C70E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6CF019B"/>
    <w:multiLevelType w:val="hybridMultilevel"/>
    <w:tmpl w:val="A11C3E14"/>
    <w:lvl w:ilvl="0" w:tplc="B4B4E48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6CFC"/>
    <w:rsid w:val="000003FA"/>
    <w:rsid w:val="000141A6"/>
    <w:rsid w:val="0002473A"/>
    <w:rsid w:val="000C4CB6"/>
    <w:rsid w:val="000C7A3F"/>
    <w:rsid w:val="000D108E"/>
    <w:rsid w:val="000E4CE2"/>
    <w:rsid w:val="001700EA"/>
    <w:rsid w:val="00184658"/>
    <w:rsid w:val="00193136"/>
    <w:rsid w:val="00196AD9"/>
    <w:rsid w:val="001F6FA1"/>
    <w:rsid w:val="00224CEC"/>
    <w:rsid w:val="00267FDC"/>
    <w:rsid w:val="00280470"/>
    <w:rsid w:val="00327E24"/>
    <w:rsid w:val="00386A88"/>
    <w:rsid w:val="00413C6A"/>
    <w:rsid w:val="004175E9"/>
    <w:rsid w:val="004463AF"/>
    <w:rsid w:val="0045643B"/>
    <w:rsid w:val="004C3287"/>
    <w:rsid w:val="00547D19"/>
    <w:rsid w:val="00647BA3"/>
    <w:rsid w:val="00653D39"/>
    <w:rsid w:val="00674044"/>
    <w:rsid w:val="00683B5C"/>
    <w:rsid w:val="006B10A6"/>
    <w:rsid w:val="006F2809"/>
    <w:rsid w:val="00705226"/>
    <w:rsid w:val="007065C6"/>
    <w:rsid w:val="007341C9"/>
    <w:rsid w:val="00734D85"/>
    <w:rsid w:val="00754733"/>
    <w:rsid w:val="00755A13"/>
    <w:rsid w:val="007D19F0"/>
    <w:rsid w:val="007D789F"/>
    <w:rsid w:val="007F7D0B"/>
    <w:rsid w:val="00812C1F"/>
    <w:rsid w:val="008170C9"/>
    <w:rsid w:val="00820885"/>
    <w:rsid w:val="00877579"/>
    <w:rsid w:val="008869AF"/>
    <w:rsid w:val="008F2B00"/>
    <w:rsid w:val="00933E2E"/>
    <w:rsid w:val="0099222C"/>
    <w:rsid w:val="009D2D71"/>
    <w:rsid w:val="009D3962"/>
    <w:rsid w:val="00A17291"/>
    <w:rsid w:val="00A65DE5"/>
    <w:rsid w:val="00A90B49"/>
    <w:rsid w:val="00AB595D"/>
    <w:rsid w:val="00B90DB6"/>
    <w:rsid w:val="00BC2CEE"/>
    <w:rsid w:val="00BD4D5E"/>
    <w:rsid w:val="00BE13C8"/>
    <w:rsid w:val="00BE6B05"/>
    <w:rsid w:val="00C45C54"/>
    <w:rsid w:val="00C46C51"/>
    <w:rsid w:val="00CA1B7C"/>
    <w:rsid w:val="00CB6CFC"/>
    <w:rsid w:val="00D159DB"/>
    <w:rsid w:val="00D61C06"/>
    <w:rsid w:val="00D72365"/>
    <w:rsid w:val="00D84632"/>
    <w:rsid w:val="00D9149B"/>
    <w:rsid w:val="00D96CD5"/>
    <w:rsid w:val="00DC3D67"/>
    <w:rsid w:val="00DD6103"/>
    <w:rsid w:val="00DF5142"/>
    <w:rsid w:val="00E04DAB"/>
    <w:rsid w:val="00E71EA1"/>
    <w:rsid w:val="00EB6C64"/>
    <w:rsid w:val="00EB733E"/>
    <w:rsid w:val="00EF7429"/>
    <w:rsid w:val="00F0371D"/>
    <w:rsid w:val="00F93ED4"/>
    <w:rsid w:val="00FA3FBD"/>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011A90"/>
  <w15:docId w15:val="{F2ED7442-EACC-4D6C-B2CF-F2351F3C22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4C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4658"/>
    <w:pPr>
      <w:ind w:left="720"/>
      <w:contextualSpacing/>
    </w:pPr>
  </w:style>
  <w:style w:type="paragraph" w:styleId="Header">
    <w:name w:val="header"/>
    <w:basedOn w:val="Normal"/>
    <w:link w:val="HeaderChar"/>
    <w:uiPriority w:val="99"/>
    <w:unhideWhenUsed/>
    <w:rsid w:val="00DC3D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3D67"/>
  </w:style>
  <w:style w:type="paragraph" w:styleId="Footer">
    <w:name w:val="footer"/>
    <w:basedOn w:val="Normal"/>
    <w:link w:val="FooterChar"/>
    <w:uiPriority w:val="99"/>
    <w:unhideWhenUsed/>
    <w:rsid w:val="00DC3D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3D67"/>
  </w:style>
  <w:style w:type="paragraph" w:styleId="BalloonText">
    <w:name w:val="Balloon Text"/>
    <w:basedOn w:val="Normal"/>
    <w:link w:val="BalloonTextChar"/>
    <w:uiPriority w:val="99"/>
    <w:semiHidden/>
    <w:unhideWhenUsed/>
    <w:rsid w:val="00386A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6A88"/>
    <w:rPr>
      <w:rFonts w:ascii="Segoe UI" w:hAnsi="Segoe UI" w:cs="Segoe UI"/>
      <w:sz w:val="18"/>
      <w:szCs w:val="18"/>
    </w:rPr>
  </w:style>
  <w:style w:type="paragraph" w:styleId="FootnoteText">
    <w:name w:val="footnote text"/>
    <w:basedOn w:val="Normal"/>
    <w:link w:val="FootnoteTextChar"/>
    <w:uiPriority w:val="99"/>
    <w:semiHidden/>
    <w:unhideWhenUsed/>
    <w:rsid w:val="00E71EA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71EA1"/>
    <w:rPr>
      <w:sz w:val="20"/>
      <w:szCs w:val="20"/>
    </w:rPr>
  </w:style>
  <w:style w:type="character" w:styleId="FootnoteReference">
    <w:name w:val="footnote reference"/>
    <w:basedOn w:val="DefaultParagraphFont"/>
    <w:uiPriority w:val="99"/>
    <w:semiHidden/>
    <w:unhideWhenUsed/>
    <w:rsid w:val="00E71EA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6518571">
      <w:bodyDiv w:val="1"/>
      <w:marLeft w:val="0"/>
      <w:marRight w:val="0"/>
      <w:marTop w:val="0"/>
      <w:marBottom w:val="0"/>
      <w:divBdr>
        <w:top w:val="none" w:sz="0" w:space="0" w:color="auto"/>
        <w:left w:val="none" w:sz="0" w:space="0" w:color="auto"/>
        <w:bottom w:val="none" w:sz="0" w:space="0" w:color="auto"/>
        <w:right w:val="none" w:sz="0" w:space="0" w:color="auto"/>
      </w:divBdr>
    </w:div>
    <w:div w:id="2012640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939D64-C082-4374-8C4E-1D6A01B2E8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Pages>
  <Words>820</Words>
  <Characters>4675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cp:revision>
  <dcterms:created xsi:type="dcterms:W3CDTF">2018-05-22T21:40:00Z</dcterms:created>
  <dcterms:modified xsi:type="dcterms:W3CDTF">2018-05-22T22:49:00Z</dcterms:modified>
</cp:coreProperties>
</file>