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A0A7B" w14:textId="11C2C4F3" w:rsidR="007C26AA" w:rsidRPr="00693351" w:rsidRDefault="00BB6B6F" w:rsidP="00941FC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1940263"/>
      <w:r w:rsidRPr="00693351">
        <w:rPr>
          <w:rFonts w:ascii="Arial" w:hAnsi="Arial" w:cs="Arial"/>
          <w:b/>
          <w:sz w:val="24"/>
          <w:szCs w:val="24"/>
        </w:rPr>
        <w:t xml:space="preserve">COMPARATIVE EVALUATION OF THERAPEUTIC EFFICACY OF INTRALESIONAL MW VACCINE VERSUS INTRALESIONAL VITAMIN D3 VERSUS INTRALESIONAL TUBERCULIN PPD IN </w:t>
      </w:r>
      <w:bookmarkEnd w:id="0"/>
      <w:r w:rsidRPr="00693351">
        <w:rPr>
          <w:rFonts w:ascii="Arial" w:hAnsi="Arial" w:cs="Arial"/>
          <w:b/>
          <w:sz w:val="24"/>
          <w:szCs w:val="24"/>
        </w:rPr>
        <w:t>CUTANEOUS WARTS</w:t>
      </w:r>
    </w:p>
    <w:p w14:paraId="5480DE29" w14:textId="77777777" w:rsidR="00F73F53" w:rsidRPr="00693351" w:rsidRDefault="00F73F53" w:rsidP="00941FC0">
      <w:pPr>
        <w:jc w:val="center"/>
        <w:rPr>
          <w:rFonts w:ascii="Arial" w:hAnsi="Arial" w:cs="Arial"/>
          <w:b/>
          <w:sz w:val="24"/>
          <w:szCs w:val="24"/>
        </w:rPr>
      </w:pPr>
    </w:p>
    <w:p w14:paraId="081A5B80" w14:textId="40DA4485" w:rsidR="000525C8" w:rsidRPr="00BB6B6F" w:rsidRDefault="00F1254D" w:rsidP="00BB6B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B6B6F">
        <w:rPr>
          <w:rFonts w:ascii="Arial" w:hAnsi="Arial" w:cs="Arial"/>
          <w:bCs/>
          <w:sz w:val="24"/>
          <w:szCs w:val="24"/>
        </w:rPr>
        <w:t xml:space="preserve">Cutaneous warts, caused by HPV, are often symptomatic, cosmetically disabling and difficult to treat due to its propensity for recurrence. </w:t>
      </w:r>
      <w:r w:rsidR="00D64C9F" w:rsidRPr="00BB6B6F">
        <w:rPr>
          <w:rFonts w:ascii="Arial" w:hAnsi="Arial" w:cs="Arial"/>
          <w:bCs/>
          <w:sz w:val="24"/>
          <w:szCs w:val="24"/>
        </w:rPr>
        <w:t>Intralesional immunotherapy has been found</w:t>
      </w:r>
      <w:r w:rsidR="001F6D43" w:rsidRPr="00BB6B6F">
        <w:rPr>
          <w:rFonts w:ascii="Arial" w:hAnsi="Arial" w:cs="Arial"/>
          <w:bCs/>
          <w:sz w:val="24"/>
          <w:szCs w:val="24"/>
        </w:rPr>
        <w:t xml:space="preserve"> to be</w:t>
      </w:r>
      <w:r w:rsidR="00D64C9F" w:rsidRPr="00BB6B6F">
        <w:rPr>
          <w:rFonts w:ascii="Arial" w:hAnsi="Arial" w:cs="Arial"/>
          <w:bCs/>
          <w:sz w:val="24"/>
          <w:szCs w:val="24"/>
        </w:rPr>
        <w:t xml:space="preserve"> efficacious in treatment of cutaneous warts</w:t>
      </w:r>
      <w:r w:rsidR="001F6D43" w:rsidRPr="00BB6B6F">
        <w:rPr>
          <w:rFonts w:ascii="Arial" w:hAnsi="Arial" w:cs="Arial"/>
          <w:bCs/>
          <w:sz w:val="24"/>
          <w:szCs w:val="24"/>
        </w:rPr>
        <w:t xml:space="preserve"> in recent studies.</w:t>
      </w:r>
      <w:r w:rsidR="00BB6B6F" w:rsidRPr="00BB6B6F">
        <w:rPr>
          <w:rFonts w:ascii="Arial" w:hAnsi="Arial" w:cs="Arial"/>
          <w:bCs/>
          <w:sz w:val="24"/>
          <w:szCs w:val="24"/>
        </w:rPr>
        <w:t xml:space="preserve">   </w:t>
      </w:r>
      <w:r w:rsidR="00D64C9F" w:rsidRPr="00BB6B6F">
        <w:rPr>
          <w:rFonts w:ascii="Arial" w:hAnsi="Arial" w:cs="Arial"/>
          <w:sz w:val="24"/>
          <w:szCs w:val="24"/>
        </w:rPr>
        <w:t xml:space="preserve">A total of </w:t>
      </w:r>
      <w:r w:rsidR="0070419D" w:rsidRPr="00BB6B6F">
        <w:rPr>
          <w:rFonts w:ascii="Arial" w:hAnsi="Arial" w:cs="Arial"/>
          <w:sz w:val="24"/>
          <w:szCs w:val="24"/>
        </w:rPr>
        <w:t>9</w:t>
      </w:r>
      <w:r w:rsidR="00D64C9F" w:rsidRPr="00BB6B6F">
        <w:rPr>
          <w:rFonts w:ascii="Arial" w:hAnsi="Arial" w:cs="Arial"/>
          <w:sz w:val="24"/>
          <w:szCs w:val="24"/>
        </w:rPr>
        <w:t xml:space="preserve">0 patients were included in the study. They were randomly divided into </w:t>
      </w:r>
      <w:r w:rsidR="0070419D" w:rsidRPr="00BB6B6F">
        <w:rPr>
          <w:rFonts w:ascii="Arial" w:hAnsi="Arial" w:cs="Arial"/>
          <w:sz w:val="24"/>
          <w:szCs w:val="24"/>
        </w:rPr>
        <w:t>3</w:t>
      </w:r>
      <w:r w:rsidR="00D64C9F" w:rsidRPr="00BB6B6F">
        <w:rPr>
          <w:rFonts w:ascii="Arial" w:hAnsi="Arial" w:cs="Arial"/>
          <w:sz w:val="24"/>
          <w:szCs w:val="24"/>
        </w:rPr>
        <w:t xml:space="preserve"> groups of 30 patients each. </w:t>
      </w:r>
      <w:r w:rsidR="0070419D" w:rsidRPr="00BB6B6F">
        <w:rPr>
          <w:rFonts w:ascii="Arial" w:hAnsi="Arial" w:cs="Arial"/>
          <w:sz w:val="24"/>
          <w:szCs w:val="24"/>
        </w:rPr>
        <w:t xml:space="preserve">Group 1 patients were given 0.1 ml of Mw vaccine, </w:t>
      </w:r>
      <w:r w:rsidR="00D64C9F" w:rsidRPr="00BB6B6F">
        <w:rPr>
          <w:rFonts w:ascii="Arial" w:hAnsi="Arial" w:cs="Arial"/>
          <w:sz w:val="24"/>
          <w:szCs w:val="24"/>
        </w:rPr>
        <w:t xml:space="preserve">Group </w:t>
      </w:r>
      <w:r w:rsidR="0070419D" w:rsidRPr="00BB6B6F">
        <w:rPr>
          <w:rFonts w:ascii="Arial" w:hAnsi="Arial" w:cs="Arial"/>
          <w:sz w:val="24"/>
          <w:szCs w:val="24"/>
        </w:rPr>
        <w:t>2</w:t>
      </w:r>
      <w:r w:rsidR="00D64C9F" w:rsidRPr="00BB6B6F">
        <w:rPr>
          <w:rFonts w:ascii="Arial" w:hAnsi="Arial" w:cs="Arial"/>
          <w:sz w:val="24"/>
          <w:szCs w:val="24"/>
        </w:rPr>
        <w:t xml:space="preserve"> patients were given </w:t>
      </w:r>
      <w:bookmarkStart w:id="1" w:name="_Hlk6436707"/>
      <w:r w:rsidR="00D64C9F" w:rsidRPr="00BB6B6F">
        <w:rPr>
          <w:rFonts w:ascii="Arial" w:hAnsi="Arial" w:cs="Arial"/>
          <w:sz w:val="24"/>
          <w:szCs w:val="24"/>
        </w:rPr>
        <w:t xml:space="preserve">0.2 ml to 0.5 ml of intralesional injection of vitamin D3 </w:t>
      </w:r>
      <w:bookmarkEnd w:id="1"/>
      <w:r w:rsidR="00D64C9F" w:rsidRPr="00BB6B6F">
        <w:rPr>
          <w:rFonts w:ascii="Arial" w:hAnsi="Arial" w:cs="Arial"/>
          <w:sz w:val="24"/>
          <w:szCs w:val="24"/>
        </w:rPr>
        <w:t xml:space="preserve">(60,000 IU, 15mg/ml) and Group </w:t>
      </w:r>
      <w:r w:rsidR="0070419D" w:rsidRPr="00BB6B6F">
        <w:rPr>
          <w:rFonts w:ascii="Arial" w:hAnsi="Arial" w:cs="Arial"/>
          <w:sz w:val="24"/>
          <w:szCs w:val="24"/>
        </w:rPr>
        <w:t>3</w:t>
      </w:r>
      <w:r w:rsidR="00D64C9F" w:rsidRPr="00BB6B6F">
        <w:rPr>
          <w:rFonts w:ascii="Arial" w:hAnsi="Arial" w:cs="Arial"/>
          <w:sz w:val="24"/>
          <w:szCs w:val="24"/>
        </w:rPr>
        <w:t xml:space="preserve"> patients were given </w:t>
      </w:r>
      <w:bookmarkStart w:id="2" w:name="_Hlk6436806"/>
      <w:r w:rsidR="00D64C9F" w:rsidRPr="00BB6B6F">
        <w:rPr>
          <w:rFonts w:ascii="Arial" w:hAnsi="Arial" w:cs="Arial"/>
          <w:sz w:val="24"/>
          <w:szCs w:val="24"/>
        </w:rPr>
        <w:t>10 TU/ 0.1 ml of intralesional injection of tuberculin PPD</w:t>
      </w:r>
      <w:bookmarkEnd w:id="2"/>
      <w:r w:rsidR="00D64C9F" w:rsidRPr="00BB6B6F">
        <w:rPr>
          <w:rFonts w:ascii="Arial" w:hAnsi="Arial" w:cs="Arial"/>
          <w:sz w:val="24"/>
          <w:szCs w:val="24"/>
        </w:rPr>
        <w:t xml:space="preserve"> at 3 week</w:t>
      </w:r>
      <w:r w:rsidR="00363959" w:rsidRPr="00BB6B6F">
        <w:rPr>
          <w:rFonts w:ascii="Arial" w:hAnsi="Arial" w:cs="Arial"/>
          <w:sz w:val="24"/>
          <w:szCs w:val="24"/>
        </w:rPr>
        <w:t>s</w:t>
      </w:r>
      <w:r w:rsidR="00D64C9F" w:rsidRPr="00BB6B6F">
        <w:rPr>
          <w:rFonts w:ascii="Arial" w:hAnsi="Arial" w:cs="Arial"/>
          <w:sz w:val="24"/>
          <w:szCs w:val="24"/>
        </w:rPr>
        <w:t xml:space="preserve"> intervals, until complete clearance of warts or maximum of </w:t>
      </w:r>
      <w:r w:rsidR="00363959" w:rsidRPr="00BB6B6F">
        <w:rPr>
          <w:rFonts w:ascii="Arial" w:hAnsi="Arial" w:cs="Arial"/>
          <w:sz w:val="24"/>
          <w:szCs w:val="24"/>
        </w:rPr>
        <w:t>4</w:t>
      </w:r>
      <w:r w:rsidR="00D64C9F" w:rsidRPr="00BB6B6F">
        <w:rPr>
          <w:rFonts w:ascii="Arial" w:hAnsi="Arial" w:cs="Arial"/>
          <w:sz w:val="24"/>
          <w:szCs w:val="24"/>
        </w:rPr>
        <w:t xml:space="preserve"> injections.</w:t>
      </w:r>
      <w:r w:rsidR="00363959" w:rsidRPr="00BB6B6F">
        <w:rPr>
          <w:rFonts w:ascii="Arial" w:hAnsi="Arial" w:cs="Arial"/>
          <w:sz w:val="24"/>
          <w:szCs w:val="24"/>
        </w:rPr>
        <w:t xml:space="preserve"> Follow up was done every </w:t>
      </w:r>
      <w:r w:rsidR="0070419D" w:rsidRPr="00BB6B6F">
        <w:rPr>
          <w:rFonts w:ascii="Arial" w:hAnsi="Arial" w:cs="Arial"/>
          <w:sz w:val="24"/>
          <w:szCs w:val="24"/>
        </w:rPr>
        <w:t>3</w:t>
      </w:r>
      <w:r w:rsidR="00363959" w:rsidRPr="00BB6B6F">
        <w:rPr>
          <w:rFonts w:ascii="Arial" w:hAnsi="Arial" w:cs="Arial"/>
          <w:sz w:val="24"/>
          <w:szCs w:val="24"/>
        </w:rPr>
        <w:t xml:space="preserve"> weeks for</w:t>
      </w:r>
      <w:r w:rsidR="00F73F53" w:rsidRPr="00BB6B6F">
        <w:rPr>
          <w:rFonts w:ascii="Arial" w:hAnsi="Arial" w:cs="Arial"/>
          <w:sz w:val="24"/>
          <w:szCs w:val="24"/>
        </w:rPr>
        <w:t xml:space="preserve"> </w:t>
      </w:r>
      <w:r w:rsidR="0070419D" w:rsidRPr="00BB6B6F">
        <w:rPr>
          <w:rFonts w:ascii="Arial" w:hAnsi="Arial" w:cs="Arial"/>
          <w:sz w:val="24"/>
          <w:szCs w:val="24"/>
        </w:rPr>
        <w:t>12</w:t>
      </w:r>
      <w:r w:rsidR="00F73F53" w:rsidRPr="00BB6B6F">
        <w:rPr>
          <w:rFonts w:ascii="Arial" w:hAnsi="Arial" w:cs="Arial"/>
          <w:sz w:val="24"/>
          <w:szCs w:val="24"/>
        </w:rPr>
        <w:t xml:space="preserve"> weeks.</w:t>
      </w:r>
      <w:r w:rsidR="00BB6B6F" w:rsidRPr="00BB6B6F">
        <w:rPr>
          <w:rFonts w:ascii="Arial" w:hAnsi="Arial" w:cs="Arial"/>
          <w:bCs/>
          <w:sz w:val="24"/>
          <w:szCs w:val="24"/>
        </w:rPr>
        <w:t xml:space="preserve">   </w:t>
      </w:r>
      <w:r w:rsidR="00F73F53" w:rsidRPr="00BB6B6F">
        <w:rPr>
          <w:rFonts w:ascii="Arial" w:hAnsi="Arial" w:cs="Arial"/>
          <w:sz w:val="24"/>
          <w:szCs w:val="24"/>
        </w:rPr>
        <w:t xml:space="preserve">At the end of the study, Complete clearance was seen in </w:t>
      </w:r>
      <w:r w:rsidR="0070419D" w:rsidRPr="00BB6B6F">
        <w:rPr>
          <w:rFonts w:ascii="Arial" w:hAnsi="Arial" w:cs="Arial"/>
          <w:sz w:val="24"/>
          <w:szCs w:val="24"/>
        </w:rPr>
        <w:t>2</w:t>
      </w:r>
      <w:r w:rsidR="00693351" w:rsidRPr="00BB6B6F">
        <w:rPr>
          <w:rFonts w:ascii="Arial" w:hAnsi="Arial" w:cs="Arial"/>
          <w:sz w:val="24"/>
          <w:szCs w:val="24"/>
        </w:rPr>
        <w:t>7</w:t>
      </w:r>
      <w:r w:rsidR="0070419D" w:rsidRPr="00BB6B6F">
        <w:rPr>
          <w:rFonts w:ascii="Arial" w:hAnsi="Arial" w:cs="Arial"/>
          <w:sz w:val="24"/>
          <w:szCs w:val="24"/>
        </w:rPr>
        <w:t xml:space="preserve"> (90%), </w:t>
      </w:r>
      <w:r w:rsidR="00F73F53" w:rsidRPr="00BB6B6F">
        <w:rPr>
          <w:rFonts w:ascii="Arial" w:hAnsi="Arial" w:cs="Arial"/>
          <w:sz w:val="24"/>
          <w:szCs w:val="24"/>
        </w:rPr>
        <w:t xml:space="preserve">25 (83.33%) and 23 (76.66%) patients; </w:t>
      </w:r>
      <w:bookmarkStart w:id="3" w:name="_GoBack"/>
      <w:bookmarkEnd w:id="3"/>
      <w:r w:rsidR="00F73F53" w:rsidRPr="00BB6B6F">
        <w:rPr>
          <w:rFonts w:ascii="Arial" w:hAnsi="Arial" w:cs="Arial"/>
          <w:sz w:val="24"/>
          <w:szCs w:val="24"/>
        </w:rPr>
        <w:t xml:space="preserve">partial response was seen in </w:t>
      </w:r>
      <w:r w:rsidR="00693351" w:rsidRPr="00BB6B6F">
        <w:rPr>
          <w:rFonts w:ascii="Arial" w:hAnsi="Arial" w:cs="Arial"/>
          <w:sz w:val="24"/>
          <w:szCs w:val="24"/>
        </w:rPr>
        <w:t xml:space="preserve">3 </w:t>
      </w:r>
      <w:r w:rsidR="0070419D" w:rsidRPr="00BB6B6F">
        <w:rPr>
          <w:rFonts w:ascii="Arial" w:hAnsi="Arial" w:cs="Arial"/>
          <w:sz w:val="24"/>
          <w:szCs w:val="24"/>
        </w:rPr>
        <w:t>(10</w:t>
      </w:r>
      <w:r w:rsidR="00693351" w:rsidRPr="00BB6B6F">
        <w:rPr>
          <w:rFonts w:ascii="Arial" w:hAnsi="Arial" w:cs="Arial"/>
          <w:sz w:val="24"/>
          <w:szCs w:val="24"/>
        </w:rPr>
        <w:t xml:space="preserve">%), </w:t>
      </w:r>
      <w:r w:rsidR="00F73F53" w:rsidRPr="00BB6B6F">
        <w:rPr>
          <w:rFonts w:ascii="Arial" w:hAnsi="Arial" w:cs="Arial"/>
          <w:sz w:val="24"/>
          <w:szCs w:val="24"/>
        </w:rPr>
        <w:t xml:space="preserve">3 (10%) and 4 (13.33%) patients; no response was seen in </w:t>
      </w:r>
      <w:r w:rsidR="00693351" w:rsidRPr="00BB6B6F">
        <w:rPr>
          <w:rFonts w:ascii="Arial" w:hAnsi="Arial" w:cs="Arial"/>
          <w:sz w:val="24"/>
          <w:szCs w:val="24"/>
        </w:rPr>
        <w:t xml:space="preserve">0 (0%), </w:t>
      </w:r>
      <w:r w:rsidR="00F73F53" w:rsidRPr="00BB6B6F">
        <w:rPr>
          <w:rFonts w:ascii="Arial" w:hAnsi="Arial" w:cs="Arial"/>
          <w:sz w:val="24"/>
          <w:szCs w:val="24"/>
        </w:rPr>
        <w:t>2 (6.66%) and 3 (10%) patients of Group 1 and 2 respectively. There were no serious adverse events or recurrence at 24 weeks follow up in both groups.</w:t>
      </w:r>
      <w:r w:rsidR="00BB6B6F" w:rsidRPr="00BB6B6F">
        <w:rPr>
          <w:rFonts w:ascii="Arial" w:hAnsi="Arial" w:cs="Arial"/>
          <w:bCs/>
          <w:sz w:val="24"/>
          <w:szCs w:val="24"/>
        </w:rPr>
        <w:t xml:space="preserve">   </w:t>
      </w:r>
      <w:r w:rsidR="00E56EAE" w:rsidRPr="00BB6B6F">
        <w:rPr>
          <w:rFonts w:ascii="Arial" w:hAnsi="Arial" w:cs="Arial"/>
          <w:sz w:val="24"/>
          <w:szCs w:val="24"/>
        </w:rPr>
        <w:t xml:space="preserve">Immunotherapy is quite effective and safe in treatment of cutaneous warts. </w:t>
      </w:r>
      <w:r w:rsidR="00693351" w:rsidRPr="00BB6B6F">
        <w:rPr>
          <w:rFonts w:ascii="Arial" w:hAnsi="Arial" w:cs="Arial"/>
          <w:sz w:val="24"/>
          <w:szCs w:val="24"/>
        </w:rPr>
        <w:t xml:space="preserve">Intralesional Mw and Vitamin D3 shows </w:t>
      </w:r>
      <w:r w:rsidR="00A0366A" w:rsidRPr="00BB6B6F">
        <w:rPr>
          <w:rFonts w:ascii="Arial" w:hAnsi="Arial" w:cs="Arial"/>
          <w:sz w:val="24"/>
          <w:szCs w:val="24"/>
        </w:rPr>
        <w:t>comparable results</w:t>
      </w:r>
      <w:r w:rsidR="00693351" w:rsidRPr="00BB6B6F">
        <w:rPr>
          <w:rFonts w:ascii="Arial" w:hAnsi="Arial" w:cs="Arial"/>
          <w:sz w:val="24"/>
          <w:szCs w:val="24"/>
        </w:rPr>
        <w:t xml:space="preserve"> in while Intralesional Mw is found more efficacious than Tuberculin PP</w:t>
      </w:r>
      <w:r w:rsidR="00E56EAE" w:rsidRPr="00BB6B6F">
        <w:rPr>
          <w:rFonts w:ascii="Arial" w:hAnsi="Arial" w:cs="Arial"/>
          <w:sz w:val="24"/>
          <w:szCs w:val="24"/>
        </w:rPr>
        <w:t xml:space="preserve">D. </w:t>
      </w:r>
    </w:p>
    <w:p w14:paraId="2A966149" w14:textId="48D8E400" w:rsidR="00BB6B6F" w:rsidRPr="00BB6B6F" w:rsidRDefault="00BB6B6F" w:rsidP="00BB6B6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B6B6F">
        <w:rPr>
          <w:rFonts w:ascii="Arial" w:hAnsi="Arial" w:cs="Arial"/>
          <w:b/>
          <w:bCs/>
          <w:sz w:val="24"/>
          <w:szCs w:val="24"/>
        </w:rPr>
        <w:t>Referrences</w:t>
      </w:r>
      <w:proofErr w:type="spellEnd"/>
      <w:r w:rsidRPr="00BB6B6F">
        <w:rPr>
          <w:rFonts w:ascii="Arial" w:hAnsi="Arial" w:cs="Arial"/>
          <w:b/>
          <w:bCs/>
          <w:sz w:val="24"/>
          <w:szCs w:val="24"/>
        </w:rPr>
        <w:t>:</w:t>
      </w:r>
    </w:p>
    <w:p w14:paraId="13FB1FF7" w14:textId="240606A5" w:rsidR="00BB6B6F" w:rsidRPr="00BB6B6F" w:rsidRDefault="00BB6B6F" w:rsidP="00BB6B6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Arial" w:hAnsi="Arial" w:cs="Arial"/>
          <w:sz w:val="24"/>
          <w:szCs w:val="24"/>
          <w:lang w:val="en-US" w:bidi="en-US"/>
        </w:rPr>
      </w:pPr>
      <w:r w:rsidRPr="00BB6B6F">
        <w:rPr>
          <w:rFonts w:ascii="Arial" w:eastAsia="Arial" w:hAnsi="Arial" w:cs="Arial"/>
          <w:sz w:val="24"/>
          <w:szCs w:val="24"/>
          <w:shd w:val="clear" w:color="auto" w:fill="FFFFFF"/>
          <w:lang w:val="en-US" w:bidi="en-US"/>
        </w:rPr>
        <w:t xml:space="preserve">Meena JK, Malhotra AK, Mathur DK, Mathur DC. Intralesional immunotherapy with mycobacterium w vaccine in patients with multiple cutaneous wart: uncontrolled open study. </w:t>
      </w:r>
      <w:r w:rsidRPr="00BB6B6F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bidi="en-US"/>
        </w:rPr>
        <w:t xml:space="preserve">JAMA </w:t>
      </w:r>
      <w:r w:rsidRPr="00BB6B6F">
        <w:rPr>
          <w:rFonts w:ascii="Arial" w:eastAsia="Arial" w:hAnsi="Arial" w:cs="Arial"/>
          <w:sz w:val="24"/>
          <w:szCs w:val="24"/>
          <w:shd w:val="clear" w:color="auto" w:fill="FFFFFF"/>
          <w:lang w:val="en-US" w:bidi="en-US"/>
        </w:rPr>
        <w:t xml:space="preserve">Dermatol. </w:t>
      </w:r>
      <w:proofErr w:type="gramStart"/>
      <w:r w:rsidRPr="00BB6B6F">
        <w:rPr>
          <w:rFonts w:ascii="Arial" w:eastAsia="Arial" w:hAnsi="Arial" w:cs="Arial"/>
          <w:sz w:val="24"/>
          <w:szCs w:val="24"/>
          <w:shd w:val="clear" w:color="auto" w:fill="FFFFFF"/>
          <w:lang w:val="en-US" w:bidi="en-US"/>
        </w:rPr>
        <w:t>2013;149:237</w:t>
      </w:r>
      <w:proofErr w:type="gramEnd"/>
      <w:r w:rsidRPr="00BB6B6F">
        <w:rPr>
          <w:rFonts w:ascii="Arial" w:eastAsia="Arial" w:hAnsi="Arial" w:cs="Arial"/>
          <w:sz w:val="24"/>
          <w:szCs w:val="24"/>
          <w:shd w:val="clear" w:color="auto" w:fill="FFFFFF"/>
          <w:lang w:val="en-US" w:bidi="en-US"/>
        </w:rPr>
        <w:t>-9.</w:t>
      </w:r>
    </w:p>
    <w:p w14:paraId="1639BF76" w14:textId="2C89E31B" w:rsidR="00BB6B6F" w:rsidRPr="00BB6B6F" w:rsidRDefault="00BB6B6F" w:rsidP="00BB6B6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BB6B6F">
        <w:rPr>
          <w:rFonts w:ascii="Arial" w:eastAsiaTheme="minorEastAsia" w:hAnsi="Arial" w:cs="Arial"/>
          <w:sz w:val="24"/>
          <w:szCs w:val="24"/>
        </w:rPr>
        <w:t xml:space="preserve">Shilpa G, </w:t>
      </w:r>
      <w:proofErr w:type="spellStart"/>
      <w:r w:rsidRPr="00BB6B6F">
        <w:rPr>
          <w:rFonts w:ascii="Arial" w:eastAsiaTheme="minorEastAsia" w:hAnsi="Arial" w:cs="Arial"/>
          <w:sz w:val="24"/>
          <w:szCs w:val="24"/>
        </w:rPr>
        <w:t>Sukriti</w:t>
      </w:r>
      <w:proofErr w:type="spellEnd"/>
      <w:r w:rsidRPr="00BB6B6F">
        <w:rPr>
          <w:rFonts w:ascii="Arial" w:eastAsiaTheme="minorEastAsia" w:hAnsi="Arial" w:cs="Arial"/>
          <w:sz w:val="24"/>
          <w:szCs w:val="24"/>
        </w:rPr>
        <w:t xml:space="preserve"> B. Intralesional immunotherapy for difficult to treat warts with </w:t>
      </w:r>
      <w:r w:rsidRPr="00BB6B6F">
        <w:rPr>
          <w:rFonts w:ascii="Arial" w:eastAsiaTheme="minorEastAsia" w:hAnsi="Arial" w:cs="Arial"/>
          <w:sz w:val="24"/>
          <w:szCs w:val="24"/>
        </w:rPr>
        <w:t xml:space="preserve">    </w:t>
      </w:r>
      <w:r w:rsidRPr="00BB6B6F">
        <w:rPr>
          <w:rFonts w:ascii="Arial" w:eastAsiaTheme="minorEastAsia" w:hAnsi="Arial" w:cs="Arial"/>
          <w:sz w:val="24"/>
          <w:szCs w:val="24"/>
        </w:rPr>
        <w:t xml:space="preserve">Mycobacterium w vaccine. J </w:t>
      </w:r>
      <w:proofErr w:type="spellStart"/>
      <w:r w:rsidRPr="00BB6B6F">
        <w:rPr>
          <w:rFonts w:ascii="Arial" w:eastAsiaTheme="minorEastAsia" w:hAnsi="Arial" w:cs="Arial"/>
          <w:sz w:val="24"/>
          <w:szCs w:val="24"/>
        </w:rPr>
        <w:t>Cutan</w:t>
      </w:r>
      <w:proofErr w:type="spellEnd"/>
      <w:r w:rsidRPr="00BB6B6F"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 w:rsidRPr="00BB6B6F">
        <w:rPr>
          <w:rFonts w:ascii="Arial" w:eastAsiaTheme="minorEastAsia" w:hAnsi="Arial" w:cs="Arial"/>
          <w:sz w:val="24"/>
          <w:szCs w:val="24"/>
        </w:rPr>
        <w:t>Aesthet</w:t>
      </w:r>
      <w:proofErr w:type="spellEnd"/>
      <w:r w:rsidRPr="00BB6B6F">
        <w:rPr>
          <w:rFonts w:ascii="Arial" w:eastAsiaTheme="minorEastAsia" w:hAnsi="Arial" w:cs="Arial"/>
          <w:sz w:val="24"/>
          <w:szCs w:val="24"/>
        </w:rPr>
        <w:t xml:space="preserve"> Surg. </w:t>
      </w:r>
      <w:proofErr w:type="gramStart"/>
      <w:r w:rsidRPr="00BB6B6F">
        <w:rPr>
          <w:rFonts w:ascii="Arial" w:eastAsiaTheme="minorEastAsia" w:hAnsi="Arial" w:cs="Arial"/>
          <w:sz w:val="24"/>
          <w:szCs w:val="24"/>
        </w:rPr>
        <w:t>2014;7:203</w:t>
      </w:r>
      <w:proofErr w:type="gramEnd"/>
      <w:r w:rsidRPr="00BB6B6F">
        <w:rPr>
          <w:rFonts w:ascii="Arial" w:eastAsiaTheme="minorEastAsia" w:hAnsi="Arial" w:cs="Arial"/>
          <w:sz w:val="24"/>
          <w:szCs w:val="24"/>
        </w:rPr>
        <w:t>-8.</w:t>
      </w:r>
    </w:p>
    <w:p w14:paraId="4F5BC6BD" w14:textId="77777777" w:rsidR="00BB6B6F" w:rsidRPr="00BB6B6F" w:rsidRDefault="00BB6B6F" w:rsidP="00A0366A">
      <w:pPr>
        <w:jc w:val="both"/>
        <w:rPr>
          <w:rFonts w:ascii="Arial" w:hAnsi="Arial" w:cs="Arial"/>
          <w:bCs/>
          <w:sz w:val="24"/>
          <w:szCs w:val="24"/>
        </w:rPr>
      </w:pPr>
    </w:p>
    <w:sectPr w:rsidR="00BB6B6F" w:rsidRPr="00BB6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544DE"/>
    <w:multiLevelType w:val="hybridMultilevel"/>
    <w:tmpl w:val="640697F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-1080" w:hanging="360"/>
      </w:pPr>
    </w:lvl>
    <w:lvl w:ilvl="2" w:tplc="4009001B" w:tentative="1">
      <w:start w:val="1"/>
      <w:numFmt w:val="lowerRoman"/>
      <w:lvlText w:val="%3."/>
      <w:lvlJc w:val="right"/>
      <w:pPr>
        <w:ind w:left="-360" w:hanging="180"/>
      </w:pPr>
    </w:lvl>
    <w:lvl w:ilvl="3" w:tplc="4009000F" w:tentative="1">
      <w:start w:val="1"/>
      <w:numFmt w:val="decimal"/>
      <w:lvlText w:val="%4."/>
      <w:lvlJc w:val="left"/>
      <w:pPr>
        <w:ind w:left="360" w:hanging="360"/>
      </w:pPr>
    </w:lvl>
    <w:lvl w:ilvl="4" w:tplc="40090019" w:tentative="1">
      <w:start w:val="1"/>
      <w:numFmt w:val="lowerLetter"/>
      <w:lvlText w:val="%5."/>
      <w:lvlJc w:val="left"/>
      <w:pPr>
        <w:ind w:left="1080" w:hanging="360"/>
      </w:pPr>
    </w:lvl>
    <w:lvl w:ilvl="5" w:tplc="4009001B" w:tentative="1">
      <w:start w:val="1"/>
      <w:numFmt w:val="lowerRoman"/>
      <w:lvlText w:val="%6."/>
      <w:lvlJc w:val="right"/>
      <w:pPr>
        <w:ind w:left="1800" w:hanging="180"/>
      </w:pPr>
    </w:lvl>
    <w:lvl w:ilvl="6" w:tplc="4009000F" w:tentative="1">
      <w:start w:val="1"/>
      <w:numFmt w:val="decimal"/>
      <w:lvlText w:val="%7."/>
      <w:lvlJc w:val="left"/>
      <w:pPr>
        <w:ind w:left="2520" w:hanging="360"/>
      </w:pPr>
    </w:lvl>
    <w:lvl w:ilvl="7" w:tplc="40090019" w:tentative="1">
      <w:start w:val="1"/>
      <w:numFmt w:val="lowerLetter"/>
      <w:lvlText w:val="%8."/>
      <w:lvlJc w:val="left"/>
      <w:pPr>
        <w:ind w:left="3240" w:hanging="360"/>
      </w:pPr>
    </w:lvl>
    <w:lvl w:ilvl="8" w:tplc="40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" w15:restartNumberingAfterBreak="0">
    <w:nsid w:val="28D36ECB"/>
    <w:multiLevelType w:val="hybridMultilevel"/>
    <w:tmpl w:val="3F2275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9A87F68"/>
    <w:multiLevelType w:val="hybridMultilevel"/>
    <w:tmpl w:val="761A533E"/>
    <w:lvl w:ilvl="0" w:tplc="E20C9AC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40090019" w:tentative="1">
      <w:start w:val="1"/>
      <w:numFmt w:val="lowerLetter"/>
      <w:lvlText w:val="%2."/>
      <w:lvlJc w:val="left"/>
      <w:pPr>
        <w:ind w:left="-1080" w:hanging="360"/>
      </w:pPr>
    </w:lvl>
    <w:lvl w:ilvl="2" w:tplc="4009001B" w:tentative="1">
      <w:start w:val="1"/>
      <w:numFmt w:val="lowerRoman"/>
      <w:lvlText w:val="%3."/>
      <w:lvlJc w:val="right"/>
      <w:pPr>
        <w:ind w:left="-360" w:hanging="180"/>
      </w:pPr>
    </w:lvl>
    <w:lvl w:ilvl="3" w:tplc="4009000F" w:tentative="1">
      <w:start w:val="1"/>
      <w:numFmt w:val="decimal"/>
      <w:lvlText w:val="%4."/>
      <w:lvlJc w:val="left"/>
      <w:pPr>
        <w:ind w:left="360" w:hanging="360"/>
      </w:pPr>
    </w:lvl>
    <w:lvl w:ilvl="4" w:tplc="40090019" w:tentative="1">
      <w:start w:val="1"/>
      <w:numFmt w:val="lowerLetter"/>
      <w:lvlText w:val="%5."/>
      <w:lvlJc w:val="left"/>
      <w:pPr>
        <w:ind w:left="1080" w:hanging="360"/>
      </w:pPr>
    </w:lvl>
    <w:lvl w:ilvl="5" w:tplc="4009001B" w:tentative="1">
      <w:start w:val="1"/>
      <w:numFmt w:val="lowerRoman"/>
      <w:lvlText w:val="%6."/>
      <w:lvlJc w:val="right"/>
      <w:pPr>
        <w:ind w:left="1800" w:hanging="180"/>
      </w:pPr>
    </w:lvl>
    <w:lvl w:ilvl="6" w:tplc="4009000F" w:tentative="1">
      <w:start w:val="1"/>
      <w:numFmt w:val="decimal"/>
      <w:lvlText w:val="%7."/>
      <w:lvlJc w:val="left"/>
      <w:pPr>
        <w:ind w:left="2520" w:hanging="360"/>
      </w:pPr>
    </w:lvl>
    <w:lvl w:ilvl="7" w:tplc="40090019" w:tentative="1">
      <w:start w:val="1"/>
      <w:numFmt w:val="lowerLetter"/>
      <w:lvlText w:val="%8."/>
      <w:lvlJc w:val="left"/>
      <w:pPr>
        <w:ind w:left="3240" w:hanging="360"/>
      </w:pPr>
    </w:lvl>
    <w:lvl w:ilvl="8" w:tplc="4009001B" w:tentative="1">
      <w:start w:val="1"/>
      <w:numFmt w:val="lowerRoman"/>
      <w:lvlText w:val="%9."/>
      <w:lvlJc w:val="right"/>
      <w:pPr>
        <w:ind w:left="39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C0"/>
    <w:rsid w:val="000525C8"/>
    <w:rsid w:val="001F6D43"/>
    <w:rsid w:val="002E5DF4"/>
    <w:rsid w:val="00363959"/>
    <w:rsid w:val="005220B4"/>
    <w:rsid w:val="00693351"/>
    <w:rsid w:val="00697CFB"/>
    <w:rsid w:val="0070419D"/>
    <w:rsid w:val="00941FC0"/>
    <w:rsid w:val="00A0366A"/>
    <w:rsid w:val="00A668B4"/>
    <w:rsid w:val="00BB6B6F"/>
    <w:rsid w:val="00BB788A"/>
    <w:rsid w:val="00D64C9F"/>
    <w:rsid w:val="00E56EAE"/>
    <w:rsid w:val="00EB6F0A"/>
    <w:rsid w:val="00ED1ADA"/>
    <w:rsid w:val="00F1254D"/>
    <w:rsid w:val="00F7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85015"/>
  <w15:chartTrackingRefBased/>
  <w15:docId w15:val="{A326CB7D-AD40-4292-9964-AB353A77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C9F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kaur</dc:creator>
  <cp:keywords/>
  <dc:description/>
  <cp:lastModifiedBy>amandeep kaur</cp:lastModifiedBy>
  <cp:revision>9</cp:revision>
  <dcterms:created xsi:type="dcterms:W3CDTF">2019-07-09T12:12:00Z</dcterms:created>
  <dcterms:modified xsi:type="dcterms:W3CDTF">2020-01-06T04:41:00Z</dcterms:modified>
</cp:coreProperties>
</file>