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3DD4" w:rsidRDefault="00262345" w:rsidP="005A15A4">
      <w:pPr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Comparative evaluation of therapeutic efficacy and safety of dermabrasion with PGE2 analogue</w:t>
      </w:r>
      <w:r w:rsidR="0041751D">
        <w:rPr>
          <w:rFonts w:ascii="Arial" w:hAnsi="Arial" w:cs="Arial"/>
          <w:b/>
          <w:sz w:val="24"/>
        </w:rPr>
        <w:t xml:space="preserve"> </w:t>
      </w:r>
      <w:r w:rsidR="00062BE1">
        <w:rPr>
          <w:rFonts w:ascii="Arial" w:hAnsi="Arial" w:cs="Arial"/>
          <w:b/>
          <w:sz w:val="24"/>
        </w:rPr>
        <w:t xml:space="preserve">(Dinoprostone), 5-Flourouracil cream (5%) </w:t>
      </w:r>
      <w:r>
        <w:rPr>
          <w:rFonts w:ascii="Arial" w:hAnsi="Arial" w:cs="Arial"/>
          <w:b/>
          <w:sz w:val="24"/>
        </w:rPr>
        <w:t xml:space="preserve"> and Tacrolimus</w:t>
      </w:r>
      <w:r w:rsidR="0041751D">
        <w:rPr>
          <w:rFonts w:ascii="Arial" w:hAnsi="Arial" w:cs="Arial"/>
          <w:b/>
          <w:sz w:val="24"/>
        </w:rPr>
        <w:t>(</w:t>
      </w:r>
      <w:r>
        <w:rPr>
          <w:rFonts w:ascii="Arial" w:hAnsi="Arial" w:cs="Arial"/>
          <w:b/>
          <w:sz w:val="24"/>
        </w:rPr>
        <w:t>0.1%</w:t>
      </w:r>
      <w:r w:rsidR="0041751D">
        <w:rPr>
          <w:rFonts w:ascii="Arial" w:hAnsi="Arial" w:cs="Arial"/>
          <w:b/>
          <w:sz w:val="24"/>
        </w:rPr>
        <w:t>)</w:t>
      </w:r>
      <w:r w:rsidR="00062BE1">
        <w:rPr>
          <w:rFonts w:ascii="Arial" w:hAnsi="Arial" w:cs="Arial"/>
          <w:b/>
          <w:sz w:val="24"/>
        </w:rPr>
        <w:t xml:space="preserve"> cream</w:t>
      </w:r>
      <w:r>
        <w:rPr>
          <w:rFonts w:ascii="Arial" w:hAnsi="Arial" w:cs="Arial"/>
          <w:b/>
          <w:sz w:val="24"/>
        </w:rPr>
        <w:t xml:space="preserve"> in loca</w:t>
      </w:r>
      <w:r w:rsidR="005A15A4">
        <w:rPr>
          <w:rFonts w:ascii="Arial" w:hAnsi="Arial" w:cs="Arial"/>
          <w:b/>
          <w:sz w:val="24"/>
        </w:rPr>
        <w:t>lised stable vitiligo</w:t>
      </w:r>
    </w:p>
    <w:p w:rsidR="008C5A90" w:rsidRDefault="008C5A90" w:rsidP="008C5A90">
      <w:pPr>
        <w:jc w:val="both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Dr Jaskirat kaur, resident GGSMCH, Faridkot, Punjab, India</w:t>
      </w:r>
    </w:p>
    <w:p w:rsidR="008C5A90" w:rsidRDefault="005A15A4" w:rsidP="0041751D">
      <w:pPr>
        <w:jc w:val="both"/>
        <w:rPr>
          <w:rFonts w:ascii="Arial" w:hAnsi="Arial" w:cs="Arial"/>
          <w:sz w:val="24"/>
        </w:rPr>
      </w:pPr>
      <w:r w:rsidRPr="008C5A90">
        <w:rPr>
          <w:rFonts w:ascii="Arial" w:hAnsi="Arial" w:cs="Arial"/>
          <w:sz w:val="24"/>
        </w:rPr>
        <w:t>Introduction</w:t>
      </w:r>
      <w:r w:rsidR="0041751D" w:rsidRPr="008C5A90">
        <w:rPr>
          <w:rFonts w:ascii="Arial" w:hAnsi="Arial" w:cs="Arial"/>
          <w:sz w:val="24"/>
        </w:rPr>
        <w:t xml:space="preserve">: Vitiligo is associated with huge social stigma in Asain skin. The desire of novel molecules has been since long in the management of vitiligo.  </w:t>
      </w:r>
      <w:r w:rsidR="008C5A90" w:rsidRPr="008C5A90">
        <w:rPr>
          <w:rFonts w:ascii="Arial" w:hAnsi="Arial" w:cs="Arial"/>
          <w:sz w:val="24"/>
        </w:rPr>
        <w:t>Our aim in the study was</w:t>
      </w:r>
      <w:r w:rsidR="001614BA" w:rsidRPr="008C5A90">
        <w:rPr>
          <w:rFonts w:ascii="Arial" w:hAnsi="Arial" w:cs="Arial"/>
          <w:sz w:val="24"/>
        </w:rPr>
        <w:t xml:space="preserve"> </w:t>
      </w:r>
      <w:r w:rsidR="008C5A90" w:rsidRPr="008C5A90">
        <w:rPr>
          <w:rFonts w:ascii="Arial" w:hAnsi="Arial" w:cs="Arial"/>
          <w:sz w:val="24"/>
        </w:rPr>
        <w:t>t</w:t>
      </w:r>
      <w:r w:rsidR="001614BA" w:rsidRPr="008C5A90">
        <w:rPr>
          <w:rFonts w:ascii="Arial" w:hAnsi="Arial" w:cs="Arial"/>
          <w:sz w:val="24"/>
        </w:rPr>
        <w:t>o evaluate therapeutic efficacy and safety of dermabrasion with PGE2 analogue</w:t>
      </w:r>
      <w:r w:rsidR="00D25FA0" w:rsidRPr="008C5A90">
        <w:rPr>
          <w:rFonts w:ascii="Arial" w:hAnsi="Arial" w:cs="Arial"/>
          <w:sz w:val="24"/>
        </w:rPr>
        <w:t xml:space="preserve"> </w:t>
      </w:r>
      <w:r w:rsidR="0041751D" w:rsidRPr="008C5A90">
        <w:rPr>
          <w:rFonts w:ascii="Arial" w:hAnsi="Arial" w:cs="Arial"/>
          <w:sz w:val="24"/>
        </w:rPr>
        <w:t>(Dinoprostone</w:t>
      </w:r>
      <w:r w:rsidR="00062BE1" w:rsidRPr="008C5A90">
        <w:rPr>
          <w:rFonts w:ascii="Arial" w:hAnsi="Arial" w:cs="Arial"/>
          <w:sz w:val="24"/>
        </w:rPr>
        <w:t xml:space="preserve"> gel), 5-Flourouracil (5%) cream</w:t>
      </w:r>
      <w:r w:rsidR="0041751D" w:rsidRPr="008C5A90">
        <w:rPr>
          <w:rFonts w:ascii="Arial" w:hAnsi="Arial" w:cs="Arial"/>
          <w:sz w:val="24"/>
        </w:rPr>
        <w:t xml:space="preserve"> </w:t>
      </w:r>
      <w:r w:rsidR="00062BE1" w:rsidRPr="008C5A90">
        <w:rPr>
          <w:rFonts w:ascii="Arial" w:hAnsi="Arial" w:cs="Arial"/>
          <w:sz w:val="24"/>
        </w:rPr>
        <w:t xml:space="preserve">and Tacrolimus 0.1% cream </w:t>
      </w:r>
      <w:r w:rsidR="001614BA" w:rsidRPr="008C5A90">
        <w:rPr>
          <w:rFonts w:ascii="Arial" w:hAnsi="Arial" w:cs="Arial"/>
          <w:sz w:val="24"/>
        </w:rPr>
        <w:t>in localised stable vitiligo</w:t>
      </w:r>
    </w:p>
    <w:p w:rsidR="005A15A4" w:rsidRPr="008C5A90" w:rsidRDefault="008C5A90" w:rsidP="0041751D">
      <w:pPr>
        <w:jc w:val="both"/>
        <w:rPr>
          <w:rFonts w:ascii="Arial" w:hAnsi="Arial" w:cs="Arial"/>
          <w:sz w:val="24"/>
        </w:rPr>
      </w:pPr>
      <w:r w:rsidRPr="008C5A90">
        <w:rPr>
          <w:rFonts w:ascii="Arial" w:hAnsi="Arial" w:cs="Arial"/>
          <w:sz w:val="24"/>
        </w:rPr>
        <w:t>Methodology &amp; Theoretical Orientation</w:t>
      </w:r>
      <w:r w:rsidR="0041751D" w:rsidRPr="008C5A90">
        <w:rPr>
          <w:rFonts w:ascii="Arial" w:hAnsi="Arial" w:cs="Arial"/>
          <w:sz w:val="24"/>
        </w:rPr>
        <w:t>: 60 patients of localised stable vitiligo were taken which were randomly divided into 3 groups. Dermabrasion w</w:t>
      </w:r>
      <w:r w:rsidR="00062BE1" w:rsidRPr="008C5A90">
        <w:rPr>
          <w:rFonts w:ascii="Arial" w:hAnsi="Arial" w:cs="Arial"/>
          <w:sz w:val="24"/>
        </w:rPr>
        <w:t>ith Dinoprostone gel, 5-Flourouracil</w:t>
      </w:r>
      <w:r w:rsidR="0041751D" w:rsidRPr="008C5A90">
        <w:rPr>
          <w:rFonts w:ascii="Arial" w:hAnsi="Arial" w:cs="Arial"/>
          <w:sz w:val="24"/>
        </w:rPr>
        <w:t xml:space="preserve"> and Tacrolimus</w:t>
      </w:r>
      <w:r w:rsidR="00062BE1" w:rsidRPr="008C5A90">
        <w:rPr>
          <w:rFonts w:ascii="Arial" w:hAnsi="Arial" w:cs="Arial"/>
          <w:sz w:val="24"/>
        </w:rPr>
        <w:t xml:space="preserve"> </w:t>
      </w:r>
      <w:r w:rsidR="0041751D" w:rsidRPr="008C5A90">
        <w:rPr>
          <w:rFonts w:ascii="Arial" w:hAnsi="Arial" w:cs="Arial"/>
          <w:sz w:val="24"/>
        </w:rPr>
        <w:t xml:space="preserve">0.1% ointment  was done in group 1, 2, and 3 respectively. The respective topical agents were instructed to be applied twice daily till 12 weeks. Follow up was done by VASI, DLQI and photographically four weekly till  36 weeks. </w:t>
      </w:r>
    </w:p>
    <w:p w:rsidR="005A15A4" w:rsidRPr="008C5A90" w:rsidRDefault="008C5A90" w:rsidP="0041751D">
      <w:pPr>
        <w:jc w:val="both"/>
        <w:rPr>
          <w:rFonts w:ascii="Arial" w:hAnsi="Arial" w:cs="Arial"/>
          <w:sz w:val="24"/>
        </w:rPr>
      </w:pPr>
      <w:r w:rsidRPr="008C5A90">
        <w:rPr>
          <w:rFonts w:ascii="Arial" w:hAnsi="Arial" w:cs="Arial"/>
          <w:sz w:val="24"/>
        </w:rPr>
        <w:t>Findings</w:t>
      </w:r>
      <w:r w:rsidR="0041751D" w:rsidRPr="008C5A90">
        <w:rPr>
          <w:rFonts w:ascii="Arial" w:hAnsi="Arial" w:cs="Arial"/>
          <w:sz w:val="24"/>
        </w:rPr>
        <w:t>: Repigmentation started within 4 weeks in all 3 groups. Exce</w:t>
      </w:r>
      <w:r w:rsidR="00062BE1" w:rsidRPr="008C5A90">
        <w:rPr>
          <w:rFonts w:ascii="Arial" w:hAnsi="Arial" w:cs="Arial"/>
          <w:sz w:val="24"/>
        </w:rPr>
        <w:t>l</w:t>
      </w:r>
      <w:r w:rsidR="0041751D" w:rsidRPr="008C5A90">
        <w:rPr>
          <w:rFonts w:ascii="Arial" w:hAnsi="Arial" w:cs="Arial"/>
          <w:sz w:val="24"/>
        </w:rPr>
        <w:t xml:space="preserve">lent response (&gt;75% repigmentation ) was seen in 43%,40% and 54% of group1,2 and 3 patients respectively. Good response(&gt;50% respigmenatation) was observed in 34%,26%, 33%, of patients of group1,2 and 3 respectively. 25-50% repigmentation was seen in 4%,8%,10% in group1,2 and 3 aptients respectively.  No significant  side effects or reoccurence  were found in the study period. </w:t>
      </w:r>
    </w:p>
    <w:p w:rsidR="005A15A4" w:rsidRDefault="005A15A4" w:rsidP="0041751D">
      <w:pPr>
        <w:jc w:val="both"/>
        <w:rPr>
          <w:rFonts w:ascii="Arial" w:hAnsi="Arial" w:cs="Arial"/>
          <w:sz w:val="24"/>
        </w:rPr>
      </w:pPr>
      <w:r w:rsidRPr="008C5A90">
        <w:rPr>
          <w:rFonts w:ascii="Arial" w:hAnsi="Arial" w:cs="Arial"/>
          <w:sz w:val="24"/>
        </w:rPr>
        <w:t>Conclusions</w:t>
      </w:r>
      <w:r w:rsidR="008C5A90" w:rsidRPr="008C5A90">
        <w:rPr>
          <w:rFonts w:ascii="Arial" w:hAnsi="Arial" w:cs="Arial"/>
          <w:sz w:val="24"/>
        </w:rPr>
        <w:t xml:space="preserve"> and significance</w:t>
      </w:r>
      <w:r w:rsidR="0041751D" w:rsidRPr="008C5A90">
        <w:rPr>
          <w:rFonts w:ascii="Arial" w:hAnsi="Arial" w:cs="Arial"/>
          <w:sz w:val="24"/>
        </w:rPr>
        <w:t xml:space="preserve">: Dermabrasion when combined with Dinoprostone </w:t>
      </w:r>
      <w:r w:rsidR="00062BE1" w:rsidRPr="008C5A90">
        <w:rPr>
          <w:rFonts w:ascii="Arial" w:hAnsi="Arial" w:cs="Arial"/>
          <w:sz w:val="24"/>
        </w:rPr>
        <w:t>gel, 5-Flourouracil (5%)</w:t>
      </w:r>
      <w:r w:rsidR="0041751D" w:rsidRPr="008C5A90">
        <w:rPr>
          <w:rFonts w:ascii="Arial" w:hAnsi="Arial" w:cs="Arial"/>
          <w:sz w:val="24"/>
        </w:rPr>
        <w:t>, or tacrolimus 0.1% ointment  showed similar efficacy and side effect profile in all 3 groups with slight better response</w:t>
      </w:r>
      <w:r w:rsidR="0041751D">
        <w:rPr>
          <w:rFonts w:ascii="Arial" w:hAnsi="Arial" w:cs="Arial"/>
          <w:sz w:val="24"/>
        </w:rPr>
        <w:t xml:space="preserve"> with tacrolimus ointment. This study adds  novel molecule dinoprostone to the already existing basket for vitiligo mangement</w:t>
      </w:r>
      <w:r w:rsidR="00062BE1">
        <w:rPr>
          <w:rFonts w:ascii="Arial" w:hAnsi="Arial" w:cs="Arial"/>
          <w:sz w:val="24"/>
        </w:rPr>
        <w:t>.</w:t>
      </w:r>
      <w:r w:rsidR="0041751D">
        <w:rPr>
          <w:rFonts w:ascii="Arial" w:hAnsi="Arial" w:cs="Arial"/>
          <w:sz w:val="24"/>
        </w:rPr>
        <w:t xml:space="preserve"> </w:t>
      </w:r>
    </w:p>
    <w:p w:rsidR="00F663D2" w:rsidRDefault="00F663D2" w:rsidP="0041751D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Recent Publications:</w:t>
      </w:r>
    </w:p>
    <w:p w:rsidR="00F663D2" w:rsidRDefault="00F663D2" w:rsidP="00F663D2">
      <w:pPr>
        <w:spacing w:after="0" w:line="360" w:lineRule="auto"/>
        <w:jc w:val="both"/>
        <w:rPr>
          <w:rFonts w:ascii="Arial" w:hAnsi="Arial" w:cs="Arial"/>
          <w:sz w:val="24"/>
          <w:lang w:val="en-GB"/>
        </w:rPr>
      </w:pPr>
      <w:r>
        <w:rPr>
          <w:rFonts w:ascii="Arial" w:hAnsi="Arial" w:cs="Arial"/>
          <w:sz w:val="24"/>
          <w:lang w:val="en-GB"/>
        </w:rPr>
        <w:t>1)Sethi S, Mahajan BB, Gupta RR. A comparative evaluation of the therapeutic efficacy of dermabrasion, deramabrasion combined with 5% 5-flurouracil cream, and dermabrasion combined with topical placentrax gel in localized vitiligo. Int J Dermatol. 2007;46:875-9.</w:t>
      </w:r>
    </w:p>
    <w:p w:rsidR="00F663D2" w:rsidRPr="008E0455" w:rsidRDefault="00F663D2" w:rsidP="00F663D2">
      <w:pPr>
        <w:spacing w:after="0" w:line="360" w:lineRule="auto"/>
        <w:jc w:val="both"/>
        <w:rPr>
          <w:rFonts w:ascii="Arial" w:eastAsia="PalatinoLTStd-Roman" w:hAnsi="Arial" w:cs="Arial"/>
          <w:sz w:val="24"/>
          <w:szCs w:val="24"/>
          <w:lang w:val="en-GB"/>
        </w:rPr>
      </w:pPr>
      <w:r>
        <w:rPr>
          <w:rFonts w:ascii="Arial" w:eastAsia="Calibri" w:hAnsi="Arial" w:cs="Arial"/>
          <w:sz w:val="24"/>
          <w:szCs w:val="24"/>
          <w:lang w:val="en-GB"/>
        </w:rPr>
        <w:t>2)</w:t>
      </w:r>
      <w:r w:rsidRPr="008E0455">
        <w:rPr>
          <w:rFonts w:ascii="Arial" w:eastAsia="Calibri" w:hAnsi="Arial" w:cs="Arial"/>
          <w:sz w:val="24"/>
          <w:szCs w:val="24"/>
          <w:lang w:val="en-GB"/>
        </w:rPr>
        <w:t>Kanwar AJ, DograS</w:t>
      </w:r>
      <w:r>
        <w:rPr>
          <w:rFonts w:ascii="Arial" w:eastAsia="Calibri" w:hAnsi="Arial" w:cs="Arial"/>
          <w:sz w:val="24"/>
          <w:szCs w:val="24"/>
          <w:lang w:val="en-GB"/>
        </w:rPr>
        <w:t xml:space="preserve"> </w:t>
      </w:r>
      <w:r w:rsidRPr="008E0455">
        <w:rPr>
          <w:rFonts w:ascii="Arial" w:eastAsia="Calibri" w:hAnsi="Arial" w:cs="Arial"/>
          <w:sz w:val="24"/>
          <w:szCs w:val="24"/>
          <w:lang w:val="en-GB"/>
        </w:rPr>
        <w:t>,</w:t>
      </w:r>
      <w:r>
        <w:rPr>
          <w:rFonts w:ascii="Arial" w:eastAsia="Calibri" w:hAnsi="Arial" w:cs="Arial"/>
          <w:sz w:val="24"/>
          <w:szCs w:val="24"/>
          <w:lang w:val="en-GB"/>
        </w:rPr>
        <w:t xml:space="preserve"> </w:t>
      </w:r>
      <w:r w:rsidRPr="008E0455">
        <w:rPr>
          <w:rFonts w:ascii="Arial" w:eastAsia="Calibri" w:hAnsi="Arial" w:cs="Arial"/>
          <w:sz w:val="24"/>
          <w:szCs w:val="24"/>
          <w:lang w:val="en-GB"/>
        </w:rPr>
        <w:t>Parsad D.</w:t>
      </w:r>
      <w:r>
        <w:rPr>
          <w:rFonts w:ascii="Arial" w:eastAsia="Calibri" w:hAnsi="Arial" w:cs="Arial"/>
          <w:sz w:val="24"/>
          <w:szCs w:val="24"/>
          <w:lang w:val="en-GB"/>
        </w:rPr>
        <w:t xml:space="preserve"> </w:t>
      </w:r>
      <w:r w:rsidRPr="008E0455">
        <w:rPr>
          <w:rFonts w:ascii="Arial" w:eastAsia="Calibri" w:hAnsi="Arial" w:cs="Arial"/>
          <w:sz w:val="24"/>
          <w:szCs w:val="24"/>
          <w:lang w:val="en-GB"/>
        </w:rPr>
        <w:t>Topical tacrolimus for treatment of vitiligo in Asians. Clin</w:t>
      </w:r>
      <w:r>
        <w:rPr>
          <w:rFonts w:ascii="Arial" w:eastAsia="Calibri" w:hAnsi="Arial" w:cs="Arial"/>
          <w:sz w:val="24"/>
          <w:szCs w:val="24"/>
          <w:lang w:val="en-GB"/>
        </w:rPr>
        <w:t xml:space="preserve"> </w:t>
      </w:r>
      <w:r w:rsidRPr="008E0455">
        <w:rPr>
          <w:rFonts w:ascii="Arial" w:eastAsia="Calibri" w:hAnsi="Arial" w:cs="Arial"/>
          <w:sz w:val="24"/>
          <w:szCs w:val="24"/>
          <w:lang w:val="en-GB"/>
        </w:rPr>
        <w:t>Exp</w:t>
      </w:r>
      <w:r>
        <w:rPr>
          <w:rFonts w:ascii="Arial" w:eastAsia="Calibri" w:hAnsi="Arial" w:cs="Arial"/>
          <w:sz w:val="24"/>
          <w:szCs w:val="24"/>
          <w:lang w:val="en-GB"/>
        </w:rPr>
        <w:t xml:space="preserve"> </w:t>
      </w:r>
      <w:r w:rsidRPr="008E0455">
        <w:rPr>
          <w:rFonts w:ascii="Arial" w:eastAsia="Calibri" w:hAnsi="Arial" w:cs="Arial"/>
          <w:sz w:val="24"/>
          <w:szCs w:val="24"/>
          <w:lang w:val="en-GB"/>
        </w:rPr>
        <w:t>Dermatol.</w:t>
      </w:r>
      <w:r>
        <w:rPr>
          <w:rFonts w:ascii="Arial" w:eastAsia="Calibri" w:hAnsi="Arial" w:cs="Arial"/>
          <w:sz w:val="24"/>
          <w:szCs w:val="24"/>
          <w:lang w:val="en-GB"/>
        </w:rPr>
        <w:t xml:space="preserve"> </w:t>
      </w:r>
      <w:r w:rsidRPr="008E0455">
        <w:rPr>
          <w:rFonts w:ascii="Arial" w:eastAsia="Calibri" w:hAnsi="Arial" w:cs="Arial"/>
          <w:sz w:val="24"/>
          <w:szCs w:val="24"/>
          <w:lang w:val="en-GB"/>
        </w:rPr>
        <w:t>2004;29:589-92</w:t>
      </w:r>
      <w:r w:rsidRPr="008E0455">
        <w:rPr>
          <w:rFonts w:ascii="Arial" w:eastAsia="PalatinoLTStd-Roman" w:hAnsi="Arial" w:cs="Arial"/>
          <w:sz w:val="24"/>
          <w:szCs w:val="24"/>
          <w:lang w:val="en-GB"/>
        </w:rPr>
        <w:t>.</w:t>
      </w:r>
    </w:p>
    <w:p w:rsidR="00F663D2" w:rsidRPr="008E0455" w:rsidRDefault="00F663D2" w:rsidP="00F663D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8E0455">
        <w:rPr>
          <w:rFonts w:ascii="Arial" w:hAnsi="Arial" w:cs="Arial"/>
          <w:sz w:val="24"/>
          <w:szCs w:val="24"/>
        </w:rPr>
        <w:t>3) Xu  AE, Zhang DM, Wei XD. Efficacy and safety of tacrolimus cream 0.1% in treatment of vitiligo. Int J Drmatol.</w:t>
      </w:r>
      <w:r>
        <w:rPr>
          <w:rFonts w:ascii="Arial" w:hAnsi="Arial" w:cs="Arial"/>
          <w:sz w:val="24"/>
          <w:szCs w:val="24"/>
        </w:rPr>
        <w:t xml:space="preserve"> </w:t>
      </w:r>
      <w:r w:rsidRPr="008E0455">
        <w:rPr>
          <w:rFonts w:ascii="Arial" w:hAnsi="Arial" w:cs="Arial"/>
          <w:sz w:val="24"/>
          <w:szCs w:val="24"/>
        </w:rPr>
        <w:t>2009;48:86-90.</w:t>
      </w:r>
    </w:p>
    <w:p w:rsidR="00F663D2" w:rsidRPr="007E1725" w:rsidRDefault="00F663D2" w:rsidP="00F663D2">
      <w:pPr>
        <w:spacing w:after="0" w:line="360" w:lineRule="auto"/>
        <w:contextualSpacing/>
        <w:jc w:val="both"/>
        <w:rPr>
          <w:rFonts w:ascii="Arial" w:eastAsia="Calibri" w:hAnsi="Arial" w:cs="Arial"/>
          <w:b/>
          <w:sz w:val="24"/>
          <w:lang w:val="en-GB"/>
        </w:rPr>
      </w:pPr>
      <w:r>
        <w:rPr>
          <w:rFonts w:ascii="Arial" w:eastAsia="Calibri" w:hAnsi="Arial" w:cs="Arial"/>
          <w:sz w:val="24"/>
          <w:lang w:val="en-GB"/>
        </w:rPr>
        <w:lastRenderedPageBreak/>
        <w:t>4)</w:t>
      </w:r>
      <w:r w:rsidRPr="007E1725">
        <w:rPr>
          <w:rFonts w:ascii="Arial" w:eastAsia="Calibri" w:hAnsi="Arial" w:cs="Arial"/>
          <w:sz w:val="24"/>
          <w:lang w:val="en-GB"/>
        </w:rPr>
        <w:t>Parsad D, Pandhi R, Dogra S,Kumar B.</w:t>
      </w:r>
      <w:r>
        <w:rPr>
          <w:rFonts w:ascii="Arial" w:eastAsia="Calibri" w:hAnsi="Arial" w:cs="Arial"/>
          <w:sz w:val="24"/>
          <w:lang w:val="en-GB"/>
        </w:rPr>
        <w:t xml:space="preserve"> </w:t>
      </w:r>
      <w:r w:rsidRPr="007E1725">
        <w:rPr>
          <w:rFonts w:ascii="Arial" w:eastAsia="Calibri" w:hAnsi="Arial" w:cs="Arial"/>
          <w:sz w:val="24"/>
          <w:lang w:val="en-GB"/>
        </w:rPr>
        <w:t>Topical prostaglandin analogue (PGE2) in vitili</w:t>
      </w:r>
      <w:r>
        <w:rPr>
          <w:rFonts w:ascii="Arial" w:eastAsia="Calibri" w:hAnsi="Arial" w:cs="Arial"/>
          <w:sz w:val="24"/>
          <w:lang w:val="en-GB"/>
        </w:rPr>
        <w:t>go –a preliminary study. Int J D</w:t>
      </w:r>
      <w:r w:rsidRPr="007E1725">
        <w:rPr>
          <w:rFonts w:ascii="Arial" w:eastAsia="Calibri" w:hAnsi="Arial" w:cs="Arial"/>
          <w:sz w:val="24"/>
          <w:lang w:val="en-GB"/>
        </w:rPr>
        <w:t>ermatol.</w:t>
      </w:r>
      <w:r>
        <w:rPr>
          <w:rFonts w:ascii="Arial" w:eastAsia="Calibri" w:hAnsi="Arial" w:cs="Arial"/>
          <w:sz w:val="24"/>
          <w:lang w:val="en-GB"/>
        </w:rPr>
        <w:t xml:space="preserve"> </w:t>
      </w:r>
      <w:r w:rsidRPr="007E1725">
        <w:rPr>
          <w:rFonts w:ascii="Arial" w:eastAsia="Calibri" w:hAnsi="Arial" w:cs="Arial"/>
          <w:sz w:val="24"/>
          <w:lang w:val="en-GB"/>
        </w:rPr>
        <w:t>2002;41:942-45.</w:t>
      </w:r>
    </w:p>
    <w:p w:rsidR="00F663D2" w:rsidRDefault="00F663D2" w:rsidP="00F663D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Pr="007E1725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 xml:space="preserve"> </w:t>
      </w:r>
      <w:r w:rsidRPr="007E1725">
        <w:rPr>
          <w:rFonts w:ascii="Arial" w:hAnsi="Arial" w:cs="Arial"/>
          <w:sz w:val="24"/>
          <w:szCs w:val="24"/>
        </w:rPr>
        <w:t>Kapoor R,</w:t>
      </w:r>
      <w:r>
        <w:rPr>
          <w:rFonts w:ascii="Arial" w:hAnsi="Arial" w:cs="Arial"/>
          <w:sz w:val="24"/>
          <w:szCs w:val="24"/>
        </w:rPr>
        <w:t xml:space="preserve"> </w:t>
      </w:r>
      <w:r w:rsidRPr="007E1725">
        <w:rPr>
          <w:rFonts w:ascii="Arial" w:hAnsi="Arial" w:cs="Arial"/>
          <w:sz w:val="24"/>
          <w:szCs w:val="24"/>
        </w:rPr>
        <w:t>Phiske MM, Jerajani</w:t>
      </w:r>
      <w:r>
        <w:rPr>
          <w:rFonts w:ascii="Arial" w:hAnsi="Arial" w:cs="Arial"/>
          <w:sz w:val="24"/>
          <w:szCs w:val="24"/>
        </w:rPr>
        <w:t xml:space="preserve"> </w:t>
      </w:r>
      <w:r w:rsidRPr="007E1725">
        <w:rPr>
          <w:rFonts w:ascii="Arial" w:hAnsi="Arial" w:cs="Arial"/>
          <w:sz w:val="24"/>
          <w:szCs w:val="24"/>
        </w:rPr>
        <w:t>HR.Evaluation of safety and efficacy of topical prostaglandin E2 in treatment of viiligo.</w:t>
      </w:r>
      <w:r>
        <w:rPr>
          <w:rFonts w:ascii="Arial" w:hAnsi="Arial" w:cs="Arial"/>
          <w:sz w:val="24"/>
          <w:szCs w:val="24"/>
        </w:rPr>
        <w:t xml:space="preserve"> </w:t>
      </w:r>
      <w:r w:rsidRPr="007E1725">
        <w:rPr>
          <w:rFonts w:ascii="Arial" w:hAnsi="Arial" w:cs="Arial"/>
          <w:sz w:val="24"/>
          <w:szCs w:val="24"/>
        </w:rPr>
        <w:t>Br J Dermatol.</w:t>
      </w:r>
      <w:r>
        <w:rPr>
          <w:rFonts w:ascii="Arial" w:hAnsi="Arial" w:cs="Arial"/>
          <w:sz w:val="24"/>
          <w:szCs w:val="24"/>
        </w:rPr>
        <w:t xml:space="preserve"> </w:t>
      </w:r>
      <w:r w:rsidRPr="007E1725">
        <w:rPr>
          <w:rFonts w:ascii="Arial" w:hAnsi="Arial" w:cs="Arial"/>
          <w:sz w:val="24"/>
          <w:szCs w:val="24"/>
        </w:rPr>
        <w:t>2008;160:861-63.</w:t>
      </w:r>
    </w:p>
    <w:p w:rsidR="009D022D" w:rsidRDefault="009D022D" w:rsidP="009D022D">
      <w:pPr>
        <w:jc w:val="both"/>
        <w:rPr>
          <w:rFonts w:ascii="Arial" w:hAnsi="Arial" w:cs="Arial"/>
          <w:sz w:val="24"/>
        </w:rPr>
      </w:pPr>
      <w:r w:rsidRPr="00CA3D42">
        <w:rPr>
          <w:rFonts w:ascii="Arial" w:hAnsi="Arial" w:cs="Arial"/>
          <w:noProof/>
          <w:sz w:val="24"/>
        </w:rPr>
        <w:drawing>
          <wp:inline distT="0" distB="0" distL="0" distR="0">
            <wp:extent cx="1871395" cy="2106202"/>
            <wp:effectExtent l="19050" t="0" r="0" b="0"/>
            <wp:docPr id="12" name="Picture 8" descr="C:\Users\Jaskirat\Pictures\New folder\IMG_20180219_11005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9" name="Picture 5" descr="C:\Users\Jaskirat\Pictures\New folder\IMG_20180219_11005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t="354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0723" cy="2116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CA3D42">
        <w:rPr>
          <w:rFonts w:ascii="Arial" w:hAnsi="Arial" w:cs="Arial"/>
          <w:noProof/>
          <w:sz w:val="24"/>
        </w:rPr>
        <w:drawing>
          <wp:inline distT="0" distB="0" distL="0" distR="0">
            <wp:extent cx="1986455" cy="2112579"/>
            <wp:effectExtent l="19050" t="0" r="0" b="0"/>
            <wp:docPr id="14" name="Picture 9" descr="C:\Users\Jaskirat\Pictures\New folder\IMG_20190919_10450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C:\Users\Jaskirat\Pictures\New folder\IMG_20190919_1045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14000"/>
                    </a:blip>
                    <a:srcRect t="29109" r="13433" b="315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908" cy="21173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D022D" w:rsidRDefault="009D022D" w:rsidP="009D022D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Fig 1 A vitiligo lesion on        Fig 2: Repigmentation after 12 weeks</w:t>
      </w:r>
    </w:p>
    <w:p w:rsidR="009D022D" w:rsidRDefault="009D022D" w:rsidP="009D022D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nipple</w:t>
      </w:r>
    </w:p>
    <w:p w:rsidR="009D022D" w:rsidRDefault="009D022D" w:rsidP="009D022D">
      <w:pPr>
        <w:jc w:val="both"/>
        <w:rPr>
          <w:rFonts w:ascii="Arial" w:hAnsi="Arial" w:cs="Arial"/>
          <w:sz w:val="24"/>
        </w:rPr>
      </w:pPr>
    </w:p>
    <w:p w:rsidR="009D022D" w:rsidRDefault="009D022D" w:rsidP="009D022D">
      <w:pPr>
        <w:jc w:val="both"/>
        <w:rPr>
          <w:rFonts w:ascii="Arial" w:hAnsi="Arial" w:cs="Arial"/>
          <w:sz w:val="24"/>
        </w:rPr>
      </w:pPr>
    </w:p>
    <w:p w:rsidR="009D022D" w:rsidRDefault="009D022D" w:rsidP="009D022D">
      <w:pPr>
        <w:jc w:val="both"/>
        <w:rPr>
          <w:rFonts w:ascii="Arial" w:hAnsi="Arial" w:cs="Arial"/>
          <w:sz w:val="24"/>
        </w:rPr>
      </w:pPr>
    </w:p>
    <w:p w:rsidR="009D022D" w:rsidRDefault="009D022D" w:rsidP="009D022D">
      <w:pPr>
        <w:jc w:val="both"/>
        <w:rPr>
          <w:rFonts w:ascii="Arial" w:hAnsi="Arial" w:cs="Arial"/>
          <w:sz w:val="24"/>
        </w:rPr>
      </w:pPr>
    </w:p>
    <w:p w:rsidR="009D022D" w:rsidRPr="00274788" w:rsidRDefault="009D022D" w:rsidP="009D022D">
      <w:pPr>
        <w:jc w:val="both"/>
        <w:rPr>
          <w:rFonts w:ascii="Arial" w:hAnsi="Arial" w:cs="Arial"/>
          <w:sz w:val="24"/>
        </w:rPr>
      </w:pPr>
      <w:r w:rsidRPr="00CA3D42">
        <w:rPr>
          <w:rFonts w:ascii="Arial" w:hAnsi="Arial" w:cs="Arial"/>
          <w:noProof/>
          <w:sz w:val="24"/>
        </w:rPr>
        <w:drawing>
          <wp:inline distT="0" distB="0" distL="0" distR="0">
            <wp:extent cx="1979647" cy="2116476"/>
            <wp:effectExtent l="19050" t="0" r="1553" b="0"/>
            <wp:docPr id="16" name="Picture 10" descr="C:\Users\Jaskirat\Pictures\New folder\IMG_20190919_104449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Picture 4" descr="C:\Users\Jaskirat\Pictures\New folder\IMG_20190919_10444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13000"/>
                    </a:blip>
                    <a:srcRect t="17873" b="307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2045" cy="214042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D022D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Fig :Completely repigmented lesion at 30 weeks</w:t>
      </w:r>
    </w:p>
    <w:p w:rsidR="009D022D" w:rsidRDefault="009D022D" w:rsidP="009D022D">
      <w:pPr>
        <w:jc w:val="both"/>
        <w:rPr>
          <w:rFonts w:ascii="Arial" w:hAnsi="Arial" w:cs="Arial"/>
          <w:sz w:val="24"/>
        </w:rPr>
      </w:pPr>
    </w:p>
    <w:p w:rsidR="009D022D" w:rsidRPr="007E1725" w:rsidRDefault="009D022D" w:rsidP="00F663D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F663D2" w:rsidRDefault="00F663D2" w:rsidP="0041751D">
      <w:pPr>
        <w:jc w:val="both"/>
        <w:rPr>
          <w:rFonts w:ascii="Arial" w:hAnsi="Arial" w:cs="Arial"/>
          <w:sz w:val="24"/>
        </w:rPr>
      </w:pPr>
    </w:p>
    <w:p w:rsidR="008C5A90" w:rsidRPr="0041751D" w:rsidRDefault="008C5A90" w:rsidP="0041751D">
      <w:pPr>
        <w:jc w:val="both"/>
        <w:rPr>
          <w:rFonts w:ascii="Arial" w:hAnsi="Arial" w:cs="Arial"/>
          <w:sz w:val="28"/>
        </w:rPr>
      </w:pPr>
    </w:p>
    <w:p w:rsidR="005A15A4" w:rsidRDefault="008C5A90">
      <w:pPr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Bibiolography:</w:t>
      </w:r>
    </w:p>
    <w:p w:rsidR="008C5A90" w:rsidRDefault="008C5A90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I , Dr Jaskirat kaur is submitting abstract in your prestigious conference. I have huge interst in field of vitiligo. I have my thesis topic on vitiligo. Apart from thesis I have presented 3 award papers, 1 free paper and numerous posters in national conferences on vitiligo. </w:t>
      </w:r>
    </w:p>
    <w:p w:rsidR="008C5A90" w:rsidRPr="008C5A90" w:rsidRDefault="008C5A90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Email – jaskiratkaur99930@gmail.com</w:t>
      </w:r>
    </w:p>
    <w:sectPr w:rsidR="008C5A90" w:rsidRPr="008C5A90" w:rsidSect="006C3DD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PalatinoLTStd-Roman">
    <w:altName w:val="MS Mincho"/>
    <w:charset w:val="80"/>
    <w:family w:val="roman"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262345"/>
    <w:rsid w:val="00062BE1"/>
    <w:rsid w:val="001614BA"/>
    <w:rsid w:val="00262345"/>
    <w:rsid w:val="002F02AE"/>
    <w:rsid w:val="0041751D"/>
    <w:rsid w:val="0044331D"/>
    <w:rsid w:val="005A15A4"/>
    <w:rsid w:val="006C3DD4"/>
    <w:rsid w:val="008001AC"/>
    <w:rsid w:val="008C5A90"/>
    <w:rsid w:val="009D022D"/>
    <w:rsid w:val="00D25FA0"/>
    <w:rsid w:val="00EC66D6"/>
    <w:rsid w:val="00F663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3DD4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D02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022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3</Pages>
  <Words>469</Words>
  <Characters>2676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Jaskirat</dc:creator>
  <cp:lastModifiedBy>Dell</cp:lastModifiedBy>
  <cp:revision>13</cp:revision>
  <dcterms:created xsi:type="dcterms:W3CDTF">2019-07-15T13:04:00Z</dcterms:created>
  <dcterms:modified xsi:type="dcterms:W3CDTF">2020-01-17T18:30:00Z</dcterms:modified>
</cp:coreProperties>
</file>