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shd w:fill="ffffff" w:val="clear"/>
        <w:spacing w:after="120" w:before="120" w:line="276" w:lineRule="auto"/>
        <w:contextualSpacing w:val="0"/>
        <w:rPr>
          <w:b w:val="1"/>
          <w:sz w:val="24"/>
          <w:szCs w:val="24"/>
        </w:rPr>
      </w:pPr>
      <w:r w:rsidDel="00000000" w:rsidR="00000000" w:rsidRPr="00000000">
        <w:rPr>
          <w:rtl w:val="0"/>
        </w:rPr>
        <w:t xml:space="preserve">Adelina Timofte</w:t>
      </w:r>
      <w:r w:rsidDel="00000000" w:rsidR="00000000" w:rsidRPr="00000000">
        <w:rPr>
          <w:i w:val="1"/>
          <w:sz w:val="24"/>
          <w:szCs w:val="24"/>
          <w:vertAlign w:val="superscript"/>
          <w:rtl w:val="0"/>
        </w:rPr>
        <w:t xml:space="preserve">1</w:t>
      </w:r>
      <w:r w:rsidDel="00000000" w:rsidR="00000000" w:rsidRPr="00000000">
        <w:rPr>
          <w:rtl w:val="0"/>
        </w:rPr>
        <w:t xml:space="preserve"> Amassy  Airf</w:t>
      </w:r>
      <w:r w:rsidDel="00000000" w:rsidR="00000000" w:rsidRPr="00000000">
        <w:rPr>
          <w:i w:val="1"/>
          <w:sz w:val="24"/>
          <w:szCs w:val="24"/>
          <w:vertAlign w:val="superscript"/>
          <w:rtl w:val="0"/>
        </w:rPr>
        <w:t xml:space="preserve">2</w:t>
      </w:r>
      <w:r w:rsidDel="00000000" w:rsidR="00000000" w:rsidRPr="00000000">
        <w:rPr>
          <w:rtl w:val="0"/>
        </w:rPr>
      </w:r>
    </w:p>
    <w:p w:rsidR="00000000" w:rsidDel="00000000" w:rsidP="00000000" w:rsidRDefault="00000000" w:rsidRPr="00000000" w14:paraId="00000001">
      <w:pPr>
        <w:contextualSpacing w:val="0"/>
        <w:rPr>
          <w:sz w:val="16"/>
          <w:szCs w:val="16"/>
          <w:highlight w:val="white"/>
        </w:rPr>
      </w:pPr>
      <w:r w:rsidDel="00000000" w:rsidR="00000000" w:rsidRPr="00000000">
        <w:rPr>
          <w:rtl w:val="0"/>
        </w:rPr>
      </w:r>
    </w:p>
    <w:p w:rsidR="00000000" w:rsidDel="00000000" w:rsidP="00000000" w:rsidRDefault="00000000" w:rsidRPr="00000000" w14:paraId="00000002">
      <w:pPr>
        <w:contextualSpacing w:val="0"/>
        <w:rPr>
          <w:sz w:val="16"/>
          <w:szCs w:val="16"/>
          <w:highlight w:val="white"/>
        </w:rPr>
      </w:pPr>
      <w:r w:rsidDel="00000000" w:rsidR="00000000" w:rsidRPr="00000000">
        <w:rPr>
          <w:rtl w:val="0"/>
        </w:rPr>
      </w:r>
    </w:p>
    <w:p w:rsidR="00000000" w:rsidDel="00000000" w:rsidP="00000000" w:rsidRDefault="00000000" w:rsidRPr="00000000" w14:paraId="00000003">
      <w:pPr>
        <w:numPr>
          <w:ilvl w:val="0"/>
          <w:numId w:val="1"/>
        </w:numPr>
        <w:ind w:left="720" w:hanging="360"/>
        <w:contextualSpacing w:val="1"/>
        <w:rPr>
          <w:sz w:val="16"/>
          <w:szCs w:val="16"/>
          <w:highlight w:val="white"/>
        </w:rPr>
      </w:pPr>
      <w:r w:rsidDel="00000000" w:rsidR="00000000" w:rsidRPr="00000000">
        <w:rPr>
          <w:sz w:val="16"/>
          <w:szCs w:val="16"/>
          <w:highlight w:val="white"/>
          <w:rtl w:val="0"/>
        </w:rPr>
        <w:t xml:space="preserve">Pole Sante des 4 Chemins, Roquebrune sur Argens, France</w:t>
      </w:r>
    </w:p>
    <w:p w:rsidR="00000000" w:rsidDel="00000000" w:rsidP="00000000" w:rsidRDefault="00000000" w:rsidRPr="00000000" w14:paraId="00000004">
      <w:pPr>
        <w:numPr>
          <w:ilvl w:val="0"/>
          <w:numId w:val="1"/>
        </w:numPr>
        <w:ind w:left="720" w:hanging="360"/>
        <w:contextualSpacing w:val="1"/>
        <w:rPr>
          <w:sz w:val="16"/>
          <w:szCs w:val="16"/>
          <w:highlight w:val="white"/>
        </w:rPr>
      </w:pPr>
      <w:r w:rsidDel="00000000" w:rsidR="00000000" w:rsidRPr="00000000">
        <w:rPr>
          <w:sz w:val="16"/>
          <w:szCs w:val="16"/>
          <w:highlight w:val="white"/>
          <w:rtl w:val="0"/>
        </w:rPr>
        <w:t xml:space="preserve">Deprtment of Dermatology, County Hospital, Timisoara, Romania</w:t>
      </w:r>
    </w:p>
    <w:p w:rsidR="00000000" w:rsidDel="00000000" w:rsidP="00000000" w:rsidRDefault="00000000" w:rsidRPr="00000000" w14:paraId="00000005">
      <w:pPr>
        <w:contextualSpacing w:val="0"/>
        <w:rPr>
          <w:sz w:val="16"/>
          <w:szCs w:val="16"/>
          <w:highlight w:val="white"/>
        </w:rPr>
      </w:pPr>
      <w:r w:rsidDel="00000000" w:rsidR="00000000" w:rsidRPr="00000000">
        <w:rPr>
          <w:rtl w:val="0"/>
        </w:rPr>
      </w:r>
    </w:p>
    <w:p w:rsidR="00000000" w:rsidDel="00000000" w:rsidP="00000000" w:rsidRDefault="00000000" w:rsidRPr="00000000" w14:paraId="00000006">
      <w:pPr>
        <w:contextualSpacing w:val="0"/>
        <w:rPr>
          <w:sz w:val="16"/>
          <w:szCs w:val="16"/>
          <w:highlight w:val="white"/>
        </w:rPr>
      </w:pPr>
      <w:r w:rsidDel="00000000" w:rsidR="00000000" w:rsidRPr="00000000">
        <w:rPr>
          <w:rtl w:val="0"/>
        </w:rPr>
      </w:r>
    </w:p>
    <w:p w:rsidR="00000000" w:rsidDel="00000000" w:rsidP="00000000" w:rsidRDefault="00000000" w:rsidRPr="00000000" w14:paraId="00000007">
      <w:pPr>
        <w:pStyle w:val="Heading1"/>
        <w:keepNext w:val="0"/>
        <w:keepLines w:val="0"/>
        <w:shd w:fill="ffffff" w:val="clear"/>
        <w:spacing w:after="360" w:before="720" w:line="324.00000000000006" w:lineRule="auto"/>
        <w:contextualSpacing w:val="0"/>
        <w:rPr>
          <w:b w:val="1"/>
          <w:sz w:val="24"/>
          <w:szCs w:val="24"/>
          <w:highlight w:val="white"/>
        </w:rPr>
      </w:pPr>
      <w:bookmarkStart w:colFirst="0" w:colLast="0" w:name="_2vv2l2fyi73w" w:id="0"/>
      <w:bookmarkEnd w:id="0"/>
      <w:r w:rsidDel="00000000" w:rsidR="00000000" w:rsidRPr="00000000">
        <w:rPr>
          <w:b w:val="1"/>
          <w:sz w:val="24"/>
          <w:szCs w:val="24"/>
          <w:highlight w:val="white"/>
          <w:rtl w:val="0"/>
        </w:rPr>
        <w:t xml:space="preserve">Reconsidering the perspective of skin aging: Targeting Extracellular matrix and dermal biogenesis</w:t>
      </w:r>
    </w:p>
    <w:p w:rsidR="00000000" w:rsidDel="00000000" w:rsidP="00000000" w:rsidRDefault="00000000" w:rsidRPr="00000000" w14:paraId="00000008">
      <w:pPr>
        <w:contextualSpacing w:val="0"/>
        <w:rPr>
          <w:sz w:val="24"/>
          <w:szCs w:val="24"/>
          <w:highlight w:val="white"/>
        </w:rPr>
      </w:pPr>
      <w:r w:rsidDel="00000000" w:rsidR="00000000" w:rsidRPr="00000000">
        <w:rPr>
          <w:sz w:val="24"/>
          <w:szCs w:val="24"/>
          <w:highlight w:val="white"/>
          <w:rtl w:val="0"/>
        </w:rPr>
        <w:t xml:space="preserve">Recent studies state that aging of dermal fibroblasts is the result of lost connection with a fragmented and disorganised dermal extracellular matrix (ECM) and not of their cellular age.        </w:t>
      </w:r>
    </w:p>
    <w:p w:rsidR="00000000" w:rsidDel="00000000" w:rsidP="00000000" w:rsidRDefault="00000000" w:rsidRPr="00000000" w14:paraId="00000009">
      <w:pPr>
        <w:contextualSpacing w:val="0"/>
        <w:rPr>
          <w:color w:val="26282a"/>
          <w:sz w:val="24"/>
          <w:szCs w:val="24"/>
          <w:highlight w:val="white"/>
        </w:rPr>
      </w:pPr>
      <w:r w:rsidDel="00000000" w:rsidR="00000000" w:rsidRPr="00000000">
        <w:rPr>
          <w:color w:val="26282a"/>
          <w:sz w:val="24"/>
          <w:szCs w:val="24"/>
          <w:highlight w:val="white"/>
          <w:rtl w:val="0"/>
        </w:rPr>
        <w:t xml:space="preserve">So far, the approach to improving the quality of the skin has always been focusing on delivering constituents that trigger proteins formation in the dermis, with a "nonspecific" approach that is thought to stimulating fibroblasts. However, a nonphysiological stimulation of extracellular matrix (ECM) can lead to stress and exhaustion of fibroblast.</w:t>
      </w:r>
    </w:p>
    <w:p w:rsidR="00000000" w:rsidDel="00000000" w:rsidP="00000000" w:rsidRDefault="00000000" w:rsidRPr="00000000" w14:paraId="0000000A">
      <w:pPr>
        <w:contextualSpacing w:val="0"/>
        <w:rPr>
          <w:sz w:val="24"/>
          <w:szCs w:val="24"/>
          <w:highlight w:val="white"/>
        </w:rPr>
      </w:pPr>
      <w:r w:rsidDel="00000000" w:rsidR="00000000" w:rsidRPr="00000000">
        <w:rPr>
          <w:sz w:val="24"/>
          <w:szCs w:val="24"/>
          <w:highlight w:val="white"/>
          <w:rtl w:val="0"/>
        </w:rPr>
        <w:t xml:space="preserve">The presentation summarizes age-related changes in the dermal ECM that drive the skin degradation process and focuses on the importance of providing an appropriate  mix of the injected product. In addition we also describe specific procedural techniques and protocols.</w:t>
      </w:r>
    </w:p>
    <w:p w:rsidR="00000000" w:rsidDel="00000000" w:rsidP="00000000" w:rsidRDefault="00000000" w:rsidRPr="00000000" w14:paraId="0000000B">
      <w:pPr>
        <w:contextualSpacing w:val="0"/>
        <w:rPr>
          <w:sz w:val="24"/>
          <w:szCs w:val="24"/>
          <w:highlight w:val="white"/>
        </w:rPr>
      </w:pPr>
      <w:r w:rsidDel="00000000" w:rsidR="00000000" w:rsidRPr="00000000">
        <w:rPr>
          <w:rtl w:val="0"/>
        </w:rPr>
      </w:r>
    </w:p>
    <w:p w:rsidR="00000000" w:rsidDel="00000000" w:rsidP="00000000" w:rsidRDefault="00000000" w:rsidRPr="00000000" w14:paraId="0000000C">
      <w:pPr>
        <w:contextualSpacing w:val="0"/>
        <w:rPr>
          <w:sz w:val="16"/>
          <w:szCs w:val="16"/>
          <w:highlight w:val="white"/>
        </w:rPr>
      </w:pPr>
      <w:r w:rsidDel="00000000" w:rsidR="00000000" w:rsidRPr="00000000">
        <w:rPr>
          <w:b w:val="1"/>
          <w:sz w:val="16"/>
          <w:szCs w:val="16"/>
          <w:highlight w:val="white"/>
          <w:rtl w:val="0"/>
        </w:rPr>
        <w:t xml:space="preserve">Keywords</w:t>
      </w:r>
      <w:r w:rsidDel="00000000" w:rsidR="00000000" w:rsidRPr="00000000">
        <w:rPr>
          <w:sz w:val="16"/>
          <w:szCs w:val="16"/>
          <w:highlight w:val="white"/>
          <w:rtl w:val="0"/>
        </w:rPr>
        <w:t xml:space="preserve">: extracellular matrix, dermal biogenesis</w:t>
      </w:r>
    </w:p>
    <w:p w:rsidR="00000000" w:rsidDel="00000000" w:rsidP="00000000" w:rsidRDefault="00000000" w:rsidRPr="00000000" w14:paraId="0000000D">
      <w:pPr>
        <w:contextualSpacing w:val="0"/>
        <w:rPr>
          <w:sz w:val="16"/>
          <w:szCs w:val="16"/>
          <w:highlight w:val="white"/>
        </w:rPr>
      </w:pPr>
      <w:r w:rsidDel="00000000" w:rsidR="00000000" w:rsidRPr="00000000">
        <w:rPr>
          <w:rtl w:val="0"/>
        </w:rPr>
      </w:r>
    </w:p>
    <w:p w:rsidR="00000000" w:rsidDel="00000000" w:rsidP="00000000" w:rsidRDefault="00000000" w:rsidRPr="00000000" w14:paraId="0000000E">
      <w:pPr>
        <w:contextualSpacing w:val="0"/>
        <w:rPr>
          <w:color w:val="26282a"/>
          <w:sz w:val="24"/>
          <w:szCs w:val="24"/>
          <w:highlight w:val="white"/>
        </w:rPr>
      </w:pPr>
      <w:r w:rsidDel="00000000" w:rsidR="00000000" w:rsidRPr="00000000">
        <w:rPr>
          <w:color w:val="26282a"/>
          <w:sz w:val="24"/>
          <w:szCs w:val="24"/>
          <w:highlight w:val="white"/>
          <w:rtl w:val="0"/>
        </w:rPr>
        <w:t xml:space="preserve">1.Cole MA, Quan T, Voorhees JJ, Fisher GJ. Extracellular matrix regulation of</w:t>
        <w:br w:type="textWrapping"/>
        <w:t xml:space="preserve">fibroblast function: redefining our perspective on skin aging. J Cell Commun</w:t>
        <w:br w:type="textWrapping"/>
        <w:t xml:space="preserve">Signal. 2018 Mar;12(1):35-43</w:t>
      </w:r>
    </w:p>
    <w:p w:rsidR="00000000" w:rsidDel="00000000" w:rsidP="00000000" w:rsidRDefault="00000000" w:rsidRPr="00000000" w14:paraId="0000000F">
      <w:pPr>
        <w:contextualSpacing w:val="0"/>
        <w:rPr>
          <w:color w:val="26282a"/>
          <w:sz w:val="24"/>
          <w:szCs w:val="24"/>
          <w:highlight w:val="white"/>
        </w:rPr>
      </w:pPr>
      <w:r w:rsidDel="00000000" w:rsidR="00000000" w:rsidRPr="00000000">
        <w:rPr>
          <w:color w:val="26282a"/>
          <w:sz w:val="24"/>
          <w:szCs w:val="24"/>
          <w:highlight w:val="white"/>
          <w:rtl w:val="0"/>
        </w:rPr>
        <w:t xml:space="preserve">2.Quan T, Fisher GJ. Role of Age-Associated Alterations of the Dermal</w:t>
        <w:br w:type="textWrapping"/>
        <w:t xml:space="preserve">Extracellular Matrix Microenvironment in Human Skin Aging: A Mini-Review.</w:t>
        <w:br w:type="textWrapping"/>
        <w:t xml:space="preserve">Gerontology. 2015;61(5):427-34.</w:t>
      </w:r>
    </w:p>
    <w:p w:rsidR="00000000" w:rsidDel="00000000" w:rsidP="00000000" w:rsidRDefault="00000000" w:rsidRPr="00000000" w14:paraId="00000010">
      <w:pPr>
        <w:contextualSpacing w:val="0"/>
        <w:rPr>
          <w:color w:val="26282a"/>
          <w:sz w:val="24"/>
          <w:szCs w:val="24"/>
          <w:highlight w:val="white"/>
        </w:rPr>
      </w:pPr>
      <w:r w:rsidDel="00000000" w:rsidR="00000000" w:rsidRPr="00000000">
        <w:rPr>
          <w:color w:val="26282a"/>
          <w:sz w:val="24"/>
          <w:szCs w:val="24"/>
          <w:highlight w:val="white"/>
          <w:rtl w:val="0"/>
        </w:rPr>
        <w:t xml:space="preserve">3.Sparavigna A, Tenconi B. Efficacy and tolerance of an injectable medical</w:t>
        <w:br w:type="textWrapping"/>
        <w:t xml:space="preserve">device containing stable hybrid cooperative complexes of high- and</w:t>
        <w:br w:type="textWrapping"/>
        <w:t xml:space="preserve">low-molecular-weight hyaluronic acid: a monocentric 16 weeks open-label</w:t>
        <w:br w:type="textWrapping"/>
        <w:t xml:space="preserve">evaluation. Clin Cosmet Investig Dermatol. 2016</w:t>
      </w:r>
    </w:p>
    <w:p w:rsidR="00000000" w:rsidDel="00000000" w:rsidP="00000000" w:rsidRDefault="00000000" w:rsidRPr="00000000" w14:paraId="00000011">
      <w:pPr>
        <w:contextualSpacing w:val="0"/>
        <w:rPr>
          <w:color w:val="26282a"/>
          <w:sz w:val="24"/>
          <w:szCs w:val="24"/>
          <w:highlight w:val="white"/>
        </w:rPr>
      </w:pPr>
      <w:r w:rsidDel="00000000" w:rsidR="00000000" w:rsidRPr="00000000">
        <w:rPr>
          <w:color w:val="26282a"/>
          <w:sz w:val="24"/>
          <w:szCs w:val="24"/>
          <w:highlight w:val="white"/>
          <w:rtl w:val="0"/>
        </w:rPr>
        <w:t xml:space="preserve">4.Prikhnenko S. Polycomponent mesotherapy formulations for the treatment of skin</w:t>
        <w:br w:type="textWrapping"/>
        <w:t xml:space="preserve">aging and improvement of skin quality. Clin Cosmet Investig Dermatol. 2015 Apr</w:t>
        <w:br w:type="textWrapping"/>
        <w:t xml:space="preserve">7;8:151-7.</w:t>
      </w:r>
    </w:p>
    <w:p w:rsidR="00000000" w:rsidDel="00000000" w:rsidP="00000000" w:rsidRDefault="00000000" w:rsidRPr="00000000" w14:paraId="00000012">
      <w:pPr>
        <w:contextualSpacing w:val="0"/>
        <w:rPr>
          <w:color w:val="26282a"/>
          <w:sz w:val="24"/>
          <w:szCs w:val="24"/>
          <w:highlight w:val="white"/>
        </w:rPr>
      </w:pPr>
      <w:r w:rsidDel="00000000" w:rsidR="00000000" w:rsidRPr="00000000">
        <w:rPr>
          <w:color w:val="26282a"/>
          <w:sz w:val="24"/>
          <w:szCs w:val="24"/>
          <w:highlight w:val="white"/>
          <w:rtl w:val="0"/>
        </w:rPr>
        <w:t xml:space="preserve">5.Deglesne PA, Arroyo R, Ranneva E, Deprez P. In vitro study of RRS HA</w:t>
        <w:br w:type="textWrapping"/>
        <w:t xml:space="preserve">injectable mesotherapy/biorevitalization product on human skin fibroblasts and</w:t>
        <w:br w:type="textWrapping"/>
        <w:t xml:space="preserve">its clinical utilization. Clin Cosmet Investig Dermatol. 2016 Feb 23;9:41-53</w:t>
      </w:r>
    </w:p>
    <w:p w:rsidR="00000000" w:rsidDel="00000000" w:rsidP="00000000" w:rsidRDefault="00000000" w:rsidRPr="00000000" w14:paraId="00000013">
      <w:pPr>
        <w:contextualSpacing w:val="0"/>
        <w:rPr>
          <w:color w:val="26282a"/>
          <w:sz w:val="24"/>
          <w:szCs w:val="24"/>
          <w:highlight w:val="white"/>
        </w:rPr>
      </w:pPr>
      <w:r w:rsidDel="00000000" w:rsidR="00000000" w:rsidRPr="00000000">
        <w:rPr>
          <w:rtl w:val="0"/>
        </w:rPr>
      </w:r>
    </w:p>
    <w:p w:rsidR="00000000" w:rsidDel="00000000" w:rsidP="00000000" w:rsidRDefault="00000000" w:rsidRPr="00000000" w14:paraId="00000014">
      <w:pPr>
        <w:contextualSpacing w:val="0"/>
        <w:rPr>
          <w:color w:val="26282a"/>
          <w:sz w:val="24"/>
          <w:szCs w:val="24"/>
          <w:highlight w:val="white"/>
        </w:rPr>
      </w:pPr>
      <w:r w:rsidDel="00000000" w:rsidR="00000000" w:rsidRPr="00000000">
        <w:rPr>
          <w:rtl w:val="0"/>
        </w:rPr>
      </w:r>
    </w:p>
    <w:p w:rsidR="00000000" w:rsidDel="00000000" w:rsidP="00000000" w:rsidRDefault="00000000" w:rsidRPr="00000000" w14:paraId="00000015">
      <w:pPr>
        <w:contextualSpacing w:val="0"/>
        <w:rPr>
          <w:color w:val="26282a"/>
          <w:sz w:val="24"/>
          <w:szCs w:val="24"/>
          <w:highlight w:val="white"/>
        </w:rPr>
      </w:pPr>
      <w:r w:rsidDel="00000000" w:rsidR="00000000" w:rsidRPr="00000000">
        <w:rPr>
          <w:rtl w:val="0"/>
        </w:rPr>
      </w:r>
    </w:p>
    <w:p w:rsidR="00000000" w:rsidDel="00000000" w:rsidP="00000000" w:rsidRDefault="00000000" w:rsidRPr="00000000" w14:paraId="00000016">
      <w:pPr>
        <w:contextualSpacing w:val="0"/>
        <w:rPr>
          <w:color w:val="26282a"/>
          <w:sz w:val="24"/>
          <w:szCs w:val="24"/>
          <w:highlight w:val="white"/>
        </w:rPr>
      </w:pPr>
      <w:r w:rsidDel="00000000" w:rsidR="00000000" w:rsidRPr="00000000">
        <w:rPr>
          <w:rtl w:val="0"/>
        </w:rPr>
      </w:r>
    </w:p>
    <w:p w:rsidR="00000000" w:rsidDel="00000000" w:rsidP="00000000" w:rsidRDefault="00000000" w:rsidRPr="00000000" w14:paraId="00000017">
      <w:pPr>
        <w:contextualSpacing w:val="0"/>
        <w:rPr>
          <w:color w:val="26282a"/>
          <w:sz w:val="24"/>
          <w:szCs w:val="24"/>
          <w:highlight w:val="white"/>
        </w:rPr>
      </w:pPr>
      <w:r w:rsidDel="00000000" w:rsidR="00000000" w:rsidRPr="00000000">
        <w:rPr>
          <w:rtl w:val="0"/>
        </w:rPr>
      </w:r>
    </w:p>
    <w:p w:rsidR="00000000" w:rsidDel="00000000" w:rsidP="00000000" w:rsidRDefault="00000000" w:rsidRPr="00000000" w14:paraId="00000018">
      <w:pPr>
        <w:contextualSpacing w:val="0"/>
        <w:rPr>
          <w:color w:val="26282a"/>
          <w:sz w:val="24"/>
          <w:szCs w:val="24"/>
          <w:highlight w:val="white"/>
        </w:rPr>
      </w:pPr>
      <w:r w:rsidDel="00000000" w:rsidR="00000000" w:rsidRPr="00000000">
        <w:rPr>
          <w:rtl w:val="0"/>
        </w:rPr>
      </w:r>
    </w:p>
    <w:p w:rsidR="00000000" w:rsidDel="00000000" w:rsidP="00000000" w:rsidRDefault="00000000" w:rsidRPr="00000000" w14:paraId="000000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val="0"/>
        <w:jc w:val="both"/>
        <w:rPr>
          <w:b w:val="1"/>
          <w:sz w:val="24"/>
          <w:szCs w:val="24"/>
        </w:rPr>
      </w:pPr>
      <w:r w:rsidDel="00000000" w:rsidR="00000000" w:rsidRPr="00000000">
        <w:rPr>
          <w:b w:val="1"/>
          <w:sz w:val="24"/>
          <w:szCs w:val="24"/>
          <w:rtl w:val="0"/>
        </w:rPr>
        <w:t xml:space="preserve">Professional Biography </w:t>
      </w:r>
    </w:p>
    <w:p w:rsidR="00000000" w:rsidDel="00000000" w:rsidP="00000000" w:rsidRDefault="00000000" w:rsidRPr="00000000" w14:paraId="000000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720"/>
        <w:contextualSpacing w:val="0"/>
        <w:jc w:val="both"/>
        <w:rPr>
          <w:sz w:val="24"/>
          <w:szCs w:val="24"/>
        </w:rPr>
      </w:pPr>
      <w:r w:rsidDel="00000000" w:rsidR="00000000" w:rsidRPr="00000000">
        <w:rPr>
          <w:rtl w:val="0"/>
        </w:rPr>
      </w:r>
    </w:p>
    <w:p w:rsidR="00000000" w:rsidDel="00000000" w:rsidP="00000000" w:rsidRDefault="00000000" w:rsidRPr="00000000" w14:paraId="000000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val="0"/>
        <w:jc w:val="both"/>
        <w:rPr>
          <w:sz w:val="24"/>
          <w:szCs w:val="24"/>
        </w:rPr>
      </w:pPr>
      <w:r w:rsidDel="00000000" w:rsidR="00000000" w:rsidRPr="00000000">
        <w:rPr>
          <w:sz w:val="24"/>
          <w:szCs w:val="24"/>
          <w:rtl w:val="0"/>
        </w:rPr>
        <w:t xml:space="preserve">Dr Adelina Timofte received her MD from “Victor Babes” University of Medicine, Timisoara, Romania in 2007. After completing two years of Pediatrics, she started her Residency in Dermatology and she is currently PhD student and dermatologist with particular interest in wound healing, genodermatosis, bullous disorders, aesthetic dermatology and clinical trials. Dr Timofte is the author of several peer-reviewed publications and abstracts mainly in the field of bullous dermatosis.</w:t>
      </w:r>
    </w:p>
    <w:p w:rsidR="00000000" w:rsidDel="00000000" w:rsidP="00000000" w:rsidRDefault="00000000" w:rsidRPr="00000000" w14:paraId="000000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val="0"/>
        <w:jc w:val="both"/>
        <w:rPr>
          <w:b w:val="1"/>
          <w:sz w:val="24"/>
          <w:szCs w:val="24"/>
        </w:rPr>
      </w:pPr>
      <w:r w:rsidDel="00000000" w:rsidR="00000000" w:rsidRPr="00000000">
        <w:rPr>
          <w:rtl w:val="0"/>
        </w:rPr>
      </w:r>
    </w:p>
    <w:p w:rsidR="00000000" w:rsidDel="00000000" w:rsidP="00000000" w:rsidRDefault="00000000" w:rsidRPr="00000000" w14:paraId="0000001D">
      <w:pPr>
        <w:contextualSpacing w:val="0"/>
        <w:rPr>
          <w:color w:val="26282a"/>
          <w:sz w:val="24"/>
          <w:szCs w:val="24"/>
          <w:highlight w:val="white"/>
        </w:rPr>
      </w:pPr>
      <w:r w:rsidDel="00000000" w:rsidR="00000000" w:rsidRPr="00000000">
        <w:rPr>
          <w:rtl w:val="0"/>
        </w:rPr>
      </w:r>
    </w:p>
    <w:sectPr>
      <w:pgSz w:h="16834" w:w="11909"/>
      <w:pgMar w:bottom="1440" w:top="1440" w:left="1440" w:right="1440" w:head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ro"/>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