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1ED" w:rsidRDefault="009845FD" w:rsidP="00BC7822">
      <w:pPr>
        <w:spacing w:after="160" w:line="259" w:lineRule="auto"/>
      </w:pPr>
      <w:r>
        <w:t xml:space="preserve">Title. </w:t>
      </w:r>
      <w:bookmarkStart w:id="0" w:name="_GoBack"/>
      <w:bookmarkEnd w:id="0"/>
      <w:r w:rsidR="002131ED" w:rsidRPr="002131ED">
        <w:t xml:space="preserve">Systemic inflammation induced by exacerbation of COPD or pneumonia in patients with COPD induces cardiac troponin elevation. </w:t>
      </w:r>
    </w:p>
    <w:p w:rsidR="00BC7822" w:rsidRPr="007C627B" w:rsidRDefault="00BC7822" w:rsidP="00BC7822">
      <w:pPr>
        <w:spacing w:after="160" w:line="259" w:lineRule="auto"/>
      </w:pPr>
      <w:r w:rsidRPr="007C627B">
        <w:t xml:space="preserve">Statement of the Problem: Troponin is a biomarker of myocardial injury. In chronic obstructive pulmonary disease (COPD), troponin is an important determinant of mortality after acute exacerbation. Whether acute exacerbation of COPD (AECOPD) causes troponin elevation </w:t>
      </w:r>
      <w:proofErr w:type="gramStart"/>
      <w:r w:rsidRPr="007C627B">
        <w:t>is not known</w:t>
      </w:r>
      <w:proofErr w:type="gramEnd"/>
      <w:r w:rsidRPr="007C627B">
        <w:t xml:space="preserve">. Here, we investigated whether troponin </w:t>
      </w:r>
      <w:proofErr w:type="gramStart"/>
      <w:r w:rsidRPr="007C627B">
        <w:t>is increased</w:t>
      </w:r>
      <w:proofErr w:type="gramEnd"/>
      <w:r w:rsidRPr="007C627B">
        <w:t xml:space="preserve"> in AECOPD compared to stable COPD.</w:t>
      </w:r>
    </w:p>
    <w:p w:rsidR="00BC7822" w:rsidRPr="007C627B" w:rsidRDefault="007C627B" w:rsidP="00BC7822">
      <w:pPr>
        <w:spacing w:after="160" w:line="259" w:lineRule="auto"/>
      </w:pPr>
      <w:r>
        <w:t>Methodology &amp; Theoretical Orientation</w:t>
      </w:r>
      <w:r w:rsidR="00BC7822" w:rsidRPr="007C627B">
        <w:t xml:space="preserve">: We included 320 COPD patients in the stable state and 63 random individuals from </w:t>
      </w:r>
      <w:proofErr w:type="spellStart"/>
      <w:r w:rsidR="00BC7822" w:rsidRPr="007C627B">
        <w:t>Akershus</w:t>
      </w:r>
      <w:proofErr w:type="spellEnd"/>
      <w:r w:rsidR="00BC7822" w:rsidRPr="007C627B">
        <w:t xml:space="preserve"> University hospital’s catchment area. All participants were ≥40 years old (mean 65</w:t>
      </w:r>
      <w:r w:rsidR="001D7735">
        <w:t>.</w:t>
      </w:r>
      <w:r w:rsidR="00BC7822" w:rsidRPr="007C627B">
        <w:t>1 years, SD 7</w:t>
      </w:r>
      <w:r w:rsidR="001D7735">
        <w:t>.</w:t>
      </w:r>
      <w:r w:rsidR="00BC7822" w:rsidRPr="007C627B">
        <w:t>6) and 176 (46%) were females. The geometric mean of high-sensitivity cardiac troponin T (</w:t>
      </w:r>
      <w:proofErr w:type="spellStart"/>
      <w:r w:rsidR="00BC7822" w:rsidRPr="007C627B">
        <w:t>hs-cTnT</w:t>
      </w:r>
      <w:proofErr w:type="spellEnd"/>
      <w:r w:rsidR="00BC7822" w:rsidRPr="007C627B">
        <w:t>) was 6</w:t>
      </w:r>
      <w:r w:rsidR="001D7735">
        <w:t>.</w:t>
      </w:r>
      <w:r w:rsidR="00BC7822" w:rsidRPr="007C627B">
        <w:t>9 ng/L (geometric-SD 2</w:t>
      </w:r>
      <w:r w:rsidR="001D7735">
        <w:t>.</w:t>
      </w:r>
      <w:r w:rsidR="00BC7822" w:rsidRPr="007C627B">
        <w:t xml:space="preserve">6). They </w:t>
      </w:r>
      <w:proofErr w:type="gramStart"/>
      <w:r w:rsidR="00BC7822" w:rsidRPr="007C627B">
        <w:t>were followed</w:t>
      </w:r>
      <w:proofErr w:type="gramEnd"/>
      <w:r w:rsidR="00BC7822" w:rsidRPr="007C627B">
        <w:t xml:space="preserve"> regarding hospital admission for the subsequent five years.</w:t>
      </w:r>
    </w:p>
    <w:p w:rsidR="00BC7822" w:rsidRPr="007C627B" w:rsidRDefault="007C627B" w:rsidP="00BC7822">
      <w:pPr>
        <w:spacing w:after="160" w:line="259" w:lineRule="auto"/>
      </w:pPr>
      <w:r>
        <w:t>Finding</w:t>
      </w:r>
      <w:r w:rsidR="00BC7822" w:rsidRPr="007C627B">
        <w:t xml:space="preserve">s: During the 5-year follow-up, we noted 474 hospitalisations: Totally, 150 and 80 admissions were due to AECOPD or pneumonia, respectively. The geometric mean ratio with geometric </w:t>
      </w:r>
      <w:proofErr w:type="spellStart"/>
      <w:r w:rsidR="00BC7822" w:rsidRPr="007C627B">
        <w:t>standarderror</w:t>
      </w:r>
      <w:proofErr w:type="spellEnd"/>
      <w:r w:rsidR="00BC7822" w:rsidRPr="007C627B">
        <w:t xml:space="preserve"> (</w:t>
      </w:r>
      <w:proofErr w:type="spellStart"/>
      <w:r w:rsidR="00BC7822" w:rsidRPr="007C627B">
        <w:t>gse</w:t>
      </w:r>
      <w:proofErr w:type="spellEnd"/>
      <w:r w:rsidR="00BC7822" w:rsidRPr="007C627B">
        <w:t xml:space="preserve">) between </w:t>
      </w:r>
      <w:proofErr w:type="spellStart"/>
      <w:r w:rsidR="00BC7822" w:rsidRPr="007C627B">
        <w:t>cTnT</w:t>
      </w:r>
      <w:proofErr w:type="spellEnd"/>
      <w:r w:rsidR="00BC7822" w:rsidRPr="007C627B">
        <w:t xml:space="preserve"> at admission and stable state in AECOPD and pneumonia was 1</w:t>
      </w:r>
      <w:r w:rsidR="001D7735">
        <w:t>.</w:t>
      </w:r>
      <w:r w:rsidR="00BC7822" w:rsidRPr="007C627B">
        <w:t>27 (</w:t>
      </w:r>
      <w:proofErr w:type="spellStart"/>
      <w:r w:rsidR="00BC7822" w:rsidRPr="007C627B">
        <w:t>gse</w:t>
      </w:r>
      <w:proofErr w:type="spellEnd"/>
      <w:r w:rsidR="00BC7822" w:rsidRPr="007C627B">
        <w:t xml:space="preserve"> = 1.11, p = 0</w:t>
      </w:r>
      <w:r w:rsidR="001D7735">
        <w:t>.</w:t>
      </w:r>
      <w:r w:rsidR="00BC7822" w:rsidRPr="007C627B">
        <w:t>023) and 1</w:t>
      </w:r>
      <w:r w:rsidR="001D7735">
        <w:t>.</w:t>
      </w:r>
      <w:r w:rsidR="00BC7822" w:rsidRPr="007C627B">
        <w:t>28 (</w:t>
      </w:r>
      <w:proofErr w:type="spellStart"/>
      <w:r w:rsidR="00BC7822" w:rsidRPr="007C627B">
        <w:t>gse</w:t>
      </w:r>
      <w:proofErr w:type="spellEnd"/>
      <w:r w:rsidR="00BC7822" w:rsidRPr="007C627B">
        <w:t xml:space="preserve"> = 1.14, p = 0</w:t>
      </w:r>
      <w:r w:rsidR="001D7735">
        <w:t>.</w:t>
      </w:r>
      <w:r w:rsidR="00BC7822" w:rsidRPr="007C627B">
        <w:t xml:space="preserve">054), respectively.  After inclusion of blood leucocyte count and CRP at hospitalisation, these ratios attenuated to zero. However, we estimated an indirect of AECOPD and pneumonia on the ratio between </w:t>
      </w:r>
      <w:proofErr w:type="spellStart"/>
      <w:r w:rsidR="00BC7822" w:rsidRPr="007C627B">
        <w:t>hs-cTnT</w:t>
      </w:r>
      <w:proofErr w:type="spellEnd"/>
      <w:r w:rsidR="00BC7822" w:rsidRPr="007C627B">
        <w:t xml:space="preserve"> at admission and the stable state to 1</w:t>
      </w:r>
      <w:r w:rsidR="001D7735">
        <w:t>.</w:t>
      </w:r>
      <w:r w:rsidR="00BC7822" w:rsidRPr="007C627B">
        <w:t>16 (p = 0</w:t>
      </w:r>
      <w:r w:rsidR="001D7735">
        <w:t>.</w:t>
      </w:r>
      <w:r w:rsidR="00BC7822" w:rsidRPr="007C627B">
        <w:t>022) and 1</w:t>
      </w:r>
      <w:r w:rsidR="001D7735">
        <w:t>.</w:t>
      </w:r>
      <w:r w:rsidR="00BC7822" w:rsidRPr="007C627B">
        <w:t>22 (p = 0</w:t>
      </w:r>
      <w:r w:rsidR="001D7735">
        <w:t>.</w:t>
      </w:r>
      <w:r w:rsidR="00BC7822" w:rsidRPr="007C627B">
        <w:t xml:space="preserve">008), representing 91 (82 – 100) and 95 (83 – 100) </w:t>
      </w:r>
      <w:proofErr w:type="gramStart"/>
      <w:r w:rsidR="00BC7822" w:rsidRPr="007C627B">
        <w:t>%</w:t>
      </w:r>
      <w:proofErr w:type="gramEnd"/>
      <w:r w:rsidR="00BC7822" w:rsidRPr="007C627B">
        <w:t xml:space="preserve"> of the total effects, respectively (95 % confidence intervals in parentheses).</w:t>
      </w:r>
    </w:p>
    <w:p w:rsidR="00BC7822" w:rsidRDefault="00BC7822" w:rsidP="00BC7822">
      <w:pPr>
        <w:spacing w:after="160" w:line="259" w:lineRule="auto"/>
      </w:pPr>
      <w:r w:rsidRPr="007C627B">
        <w:t>Conclusion</w:t>
      </w:r>
      <w:r w:rsidR="0013014E">
        <w:t xml:space="preserve"> &amp; Significance</w:t>
      </w:r>
      <w:r w:rsidRPr="007C627B">
        <w:t xml:space="preserve">: AECOPD and pneumonia in COPD patients is associated with higher cardiac troponin T levels. This association appears to </w:t>
      </w:r>
      <w:proofErr w:type="gramStart"/>
      <w:r w:rsidRPr="007C627B">
        <w:t>be mediated</w:t>
      </w:r>
      <w:proofErr w:type="gramEnd"/>
      <w:r w:rsidRPr="007C627B">
        <w:t xml:space="preserve"> by systemic inflammation.</w:t>
      </w:r>
    </w:p>
    <w:p w:rsidR="00BC7822" w:rsidRDefault="00BC7822" w:rsidP="00BC7822">
      <w:pPr>
        <w:spacing w:after="0" w:line="259" w:lineRule="auto"/>
      </w:pPr>
      <w:r>
        <w:t>Recent Publication: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>1.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Systemic inflammation induced by exacerbation of COPD or pneumonia in patients with COPD induces cardiac troponin elevation. &lt;https://pubmed.ncbi.nlm.nih.gov/34452935/&gt;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>Søyseth V, Kononova N, Neukamm A, Holmedahl NH, Hagve TA, Omland T, Einvik G.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BMJ Open Respir Res. 2021 Aug;8(1):e000997. doi: 10.1136/bmjresp-2021-000997.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2.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Coping Patterns and Emotional Distress in Patients With Chronic Obstructive Lung Disease Who Are Undergoing Lung Transplant Evaluation. &lt;https://pubmed.ncbi.nlm.nih.gov/32578510/&gt;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>Soyseth TS, Dew MA, Lund MB, Haugstad GK, Soyseth V, Malt UF.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Prog Transplant. 2020 Sep;30(3):228-234. doi: 10.1177/1526924820933817.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3.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  <w:lang w:val="nb-NO"/>
        </w:rPr>
      </w:pPr>
      <w:r w:rsidRPr="007D5CB5">
        <w:rPr>
          <w:rFonts w:ascii="Calibri" w:hAnsi="Calibri" w:cs="Calibri"/>
          <w:noProof/>
          <w:szCs w:val="24"/>
        </w:rPr>
        <w:t xml:space="preserve">Annual decline in forced expiratory volume and airway inflammatory cells and mediators in a general population-based sample. </w:t>
      </w:r>
      <w:r w:rsidRPr="007D5CB5">
        <w:rPr>
          <w:rFonts w:ascii="Calibri" w:hAnsi="Calibri" w:cs="Calibri"/>
          <w:noProof/>
          <w:szCs w:val="24"/>
          <w:lang w:val="nb-NO"/>
        </w:rPr>
        <w:t xml:space="preserve">&lt;https://pubmed.ncbi.nlm.nih.gov/31072364/&gt;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  <w:lang w:val="nb-NO"/>
        </w:rPr>
      </w:pPr>
      <w:r w:rsidRPr="007D5CB5">
        <w:rPr>
          <w:rFonts w:ascii="Calibri" w:hAnsi="Calibri" w:cs="Calibri"/>
          <w:noProof/>
          <w:szCs w:val="24"/>
          <w:lang w:val="nb-NO"/>
        </w:rPr>
        <w:t>Kononova N, Sikkeland LIB, Mahmood F, Vistnes M, Kongerud J, Einvik G, Søyseth V.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BMC Pulm Med. 2019 May 9;19(1):90. doi: 10.1186/s12890-018-0765-7.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  <w:lang w:val="nb-NO"/>
        </w:rPr>
      </w:pPr>
      <w:r w:rsidRPr="007D5CB5">
        <w:rPr>
          <w:rFonts w:ascii="Calibri" w:hAnsi="Calibri" w:cs="Calibri"/>
          <w:noProof/>
          <w:szCs w:val="24"/>
          <w:lang w:val="nb-NO"/>
        </w:rPr>
        <w:t xml:space="preserve">4.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  <w:lang w:val="nb-NO"/>
        </w:rPr>
      </w:pPr>
      <w:r w:rsidRPr="007D5CB5">
        <w:rPr>
          <w:rFonts w:ascii="Calibri" w:hAnsi="Calibri" w:cs="Calibri"/>
          <w:noProof/>
          <w:szCs w:val="24"/>
          <w:lang w:val="nb-NO"/>
        </w:rPr>
        <w:t xml:space="preserve">Var kols forklaringen? &lt;https://pubmed.ncbi.nlm.nih.gov/28972324/&gt;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  <w:lang w:val="nb-NO"/>
        </w:rPr>
      </w:pPr>
      <w:r w:rsidRPr="007D5CB5">
        <w:rPr>
          <w:rFonts w:ascii="Calibri" w:hAnsi="Calibri" w:cs="Calibri"/>
          <w:noProof/>
          <w:szCs w:val="24"/>
          <w:lang w:val="nb-NO"/>
        </w:rPr>
        <w:t>Søyseth V.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  <w:lang w:val="nb-NO"/>
        </w:rPr>
        <w:t xml:space="preserve">Tidsskr Nor Laegeforen. </w:t>
      </w:r>
      <w:r w:rsidRPr="007D5CB5">
        <w:rPr>
          <w:rFonts w:ascii="Calibri" w:hAnsi="Calibri" w:cs="Calibri"/>
          <w:noProof/>
          <w:szCs w:val="24"/>
        </w:rPr>
        <w:t>2017 Oct 2;137(18). doi: 10.4045/tidsskr.17.0772. Print 2017 Oct 3.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PMID: 28972324 Norwegian. No abstract available.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t xml:space="preserve">5. </w:t>
      </w:r>
    </w:p>
    <w:p w:rsidR="007D5CB5" w:rsidRPr="007D5CB5" w:rsidRDefault="007D5CB5" w:rsidP="007D5CB5">
      <w:pPr>
        <w:spacing w:after="0" w:line="259" w:lineRule="auto"/>
        <w:rPr>
          <w:rFonts w:ascii="Calibri" w:hAnsi="Calibri" w:cs="Calibri"/>
          <w:noProof/>
          <w:szCs w:val="24"/>
        </w:rPr>
      </w:pPr>
      <w:r w:rsidRPr="007D5CB5">
        <w:rPr>
          <w:rFonts w:ascii="Calibri" w:hAnsi="Calibri" w:cs="Calibri"/>
          <w:noProof/>
          <w:szCs w:val="24"/>
        </w:rPr>
        <w:lastRenderedPageBreak/>
        <w:t xml:space="preserve">Premature Ventricular Complex is More Prevalent During Acute Exacerbated than Stable States of Chronic Obstructive Pulmonary Disease, and Is Related to Cardiac Troponin T. &lt;https://pubmed.ncbi.nlm.nih.gov/28388306/&gt; </w:t>
      </w:r>
    </w:p>
    <w:p w:rsidR="00BC7822" w:rsidRPr="00E35033" w:rsidRDefault="007D5CB5" w:rsidP="007D5CB5">
      <w:pPr>
        <w:spacing w:after="160" w:line="259" w:lineRule="auto"/>
      </w:pPr>
      <w:r w:rsidRPr="007D5CB5">
        <w:rPr>
          <w:rFonts w:ascii="Calibri" w:hAnsi="Calibri" w:cs="Calibri"/>
          <w:noProof/>
          <w:szCs w:val="24"/>
        </w:rPr>
        <w:t>Einvik G, Bhatnagar R, Holmedahl NH, Neukamm A, Omland T, Søyseth V.</w:t>
      </w:r>
    </w:p>
    <w:p w:rsidR="00871974" w:rsidRDefault="009845FD"/>
    <w:sectPr w:rsidR="00871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8E6159"/>
    <w:multiLevelType w:val="hybridMultilevel"/>
    <w:tmpl w:val="B3647E90"/>
    <w:lvl w:ilvl="0" w:tplc="DC7C150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22"/>
    <w:rsid w:val="0013014E"/>
    <w:rsid w:val="001D7735"/>
    <w:rsid w:val="002131ED"/>
    <w:rsid w:val="007C627B"/>
    <w:rsid w:val="007D5CB5"/>
    <w:rsid w:val="009845FD"/>
    <w:rsid w:val="00AE3E35"/>
    <w:rsid w:val="00B55B59"/>
    <w:rsid w:val="00BC121A"/>
    <w:rsid w:val="00BC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A853E0"/>
  <w15:chartTrackingRefBased/>
  <w15:docId w15:val="{9BA2F3D1-35B6-4BE9-81CF-D2694A68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822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78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Vidar Søyseth</dc:creator>
  <cp:keywords/>
  <dc:description/>
  <cp:lastModifiedBy>Vidar Søyseth</cp:lastModifiedBy>
  <cp:revision>3</cp:revision>
  <dcterms:created xsi:type="dcterms:W3CDTF">2021-12-31T11:01:00Z</dcterms:created>
  <dcterms:modified xsi:type="dcterms:W3CDTF">2021-12-31T11:01:00Z</dcterms:modified>
</cp:coreProperties>
</file>