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4A81" w:rsidRPr="00D04A81" w:rsidRDefault="009A537D" w:rsidP="00D04A81">
      <w:pPr>
        <w:tabs>
          <w:tab w:val="left" w:pos="3330"/>
        </w:tabs>
        <w:autoSpaceDE w:val="0"/>
        <w:autoSpaceDN w:val="0"/>
        <w:adjustRightInd w:val="0"/>
        <w:spacing w:after="0" w:line="240" w:lineRule="auto"/>
        <w:jc w:val="center"/>
        <w:rPr>
          <w:rFonts w:asciiTheme="majorBidi" w:hAnsiTheme="majorBidi" w:cstheme="majorBidi"/>
          <w:b/>
          <w:bCs/>
          <w:sz w:val="28"/>
          <w:szCs w:val="28"/>
        </w:rPr>
      </w:pPr>
      <w:r w:rsidRPr="00D04A81">
        <w:rPr>
          <w:rFonts w:asciiTheme="majorBidi" w:hAnsiTheme="majorBidi" w:cstheme="majorBidi"/>
          <w:b/>
          <w:bCs/>
          <w:sz w:val="28"/>
          <w:szCs w:val="28"/>
        </w:rPr>
        <w:t>Echocardiography and N-terminal-pro-brain natriuretic peptide in assessment of left ventricular diastolic dysfunction in stable COPD in relation to disease severity</w:t>
      </w:r>
    </w:p>
    <w:p w:rsidR="009A537D" w:rsidRPr="00D04A81" w:rsidRDefault="009A537D" w:rsidP="00D04A81">
      <w:pPr>
        <w:tabs>
          <w:tab w:val="left" w:pos="3330"/>
        </w:tabs>
        <w:autoSpaceDE w:val="0"/>
        <w:autoSpaceDN w:val="0"/>
        <w:adjustRightInd w:val="0"/>
        <w:spacing w:before="120" w:after="0" w:line="240" w:lineRule="auto"/>
        <w:jc w:val="both"/>
        <w:rPr>
          <w:rFonts w:asciiTheme="majorBidi" w:hAnsiTheme="majorBidi" w:cstheme="majorBidi"/>
          <w:b/>
          <w:bCs/>
          <w:sz w:val="24"/>
          <w:szCs w:val="24"/>
        </w:rPr>
      </w:pPr>
      <w:r w:rsidRPr="00D04A81">
        <w:rPr>
          <w:rFonts w:asciiTheme="majorBidi" w:hAnsiTheme="majorBidi" w:cstheme="majorBidi"/>
          <w:b/>
          <w:bCs/>
          <w:sz w:val="24"/>
          <w:szCs w:val="24"/>
        </w:rPr>
        <w:t xml:space="preserve">Gehan H. </w:t>
      </w:r>
      <w:proofErr w:type="spellStart"/>
      <w:r w:rsidRPr="00D04A81">
        <w:rPr>
          <w:rFonts w:asciiTheme="majorBidi" w:hAnsiTheme="majorBidi" w:cstheme="majorBidi"/>
          <w:b/>
          <w:bCs/>
          <w:sz w:val="24"/>
          <w:szCs w:val="24"/>
        </w:rPr>
        <w:t>AboEl-Magd</w:t>
      </w:r>
      <w:proofErr w:type="spellEnd"/>
      <w:r w:rsidRPr="00D04A81">
        <w:rPr>
          <w:rFonts w:asciiTheme="majorBidi" w:hAnsiTheme="majorBidi" w:cstheme="majorBidi"/>
          <w:b/>
          <w:bCs/>
          <w:sz w:val="24"/>
          <w:szCs w:val="24"/>
        </w:rPr>
        <w:t xml:space="preserve"> </w:t>
      </w:r>
      <w:r w:rsidRPr="00D04A81">
        <w:rPr>
          <w:rFonts w:asciiTheme="majorBidi" w:hAnsiTheme="majorBidi" w:cstheme="majorBidi"/>
          <w:b/>
          <w:bCs/>
          <w:sz w:val="24"/>
          <w:szCs w:val="24"/>
          <w:vertAlign w:val="superscript"/>
        </w:rPr>
        <w:t>1</w:t>
      </w:r>
      <w:r w:rsidRPr="00D04A81">
        <w:rPr>
          <w:rFonts w:asciiTheme="majorBidi" w:hAnsiTheme="majorBidi" w:cstheme="majorBidi"/>
          <w:b/>
          <w:bCs/>
          <w:sz w:val="24"/>
          <w:szCs w:val="24"/>
        </w:rPr>
        <w:t xml:space="preserve">, </w:t>
      </w:r>
      <w:proofErr w:type="spellStart"/>
      <w:r w:rsidRPr="00D04A81">
        <w:rPr>
          <w:rFonts w:asciiTheme="majorBidi" w:hAnsiTheme="majorBidi" w:cstheme="majorBidi"/>
          <w:b/>
          <w:bCs/>
          <w:sz w:val="24"/>
          <w:szCs w:val="24"/>
        </w:rPr>
        <w:t>Timoor</w:t>
      </w:r>
      <w:proofErr w:type="spellEnd"/>
      <w:r w:rsidRPr="00D04A81">
        <w:rPr>
          <w:rFonts w:asciiTheme="majorBidi" w:hAnsiTheme="majorBidi" w:cstheme="majorBidi"/>
          <w:b/>
          <w:bCs/>
          <w:sz w:val="24"/>
          <w:szCs w:val="24"/>
        </w:rPr>
        <w:t xml:space="preserve"> Hassan </w:t>
      </w:r>
      <w:r w:rsidRPr="00D04A81">
        <w:rPr>
          <w:rFonts w:asciiTheme="majorBidi" w:hAnsiTheme="majorBidi" w:cstheme="majorBidi"/>
          <w:b/>
          <w:bCs/>
          <w:sz w:val="24"/>
          <w:szCs w:val="24"/>
          <w:vertAlign w:val="superscript"/>
        </w:rPr>
        <w:t>2</w:t>
      </w:r>
      <w:r w:rsidRPr="00D04A81">
        <w:rPr>
          <w:rFonts w:asciiTheme="majorBidi" w:hAnsiTheme="majorBidi" w:cstheme="majorBidi"/>
          <w:b/>
          <w:bCs/>
          <w:sz w:val="24"/>
          <w:szCs w:val="24"/>
        </w:rPr>
        <w:t xml:space="preserve">, Mohamed H. Aly </w:t>
      </w:r>
      <w:r w:rsidRPr="00D04A81">
        <w:rPr>
          <w:rFonts w:asciiTheme="majorBidi" w:hAnsiTheme="majorBidi" w:cstheme="majorBidi"/>
          <w:b/>
          <w:bCs/>
          <w:sz w:val="24"/>
          <w:szCs w:val="24"/>
          <w:vertAlign w:val="superscript"/>
        </w:rPr>
        <w:t>3</w:t>
      </w:r>
      <w:r w:rsidRPr="00D04A81">
        <w:rPr>
          <w:rFonts w:asciiTheme="majorBidi" w:hAnsiTheme="majorBidi" w:cstheme="majorBidi"/>
          <w:b/>
          <w:bCs/>
          <w:sz w:val="24"/>
          <w:szCs w:val="24"/>
        </w:rPr>
        <w:t xml:space="preserve">, </w:t>
      </w:r>
      <w:proofErr w:type="spellStart"/>
      <w:r w:rsidRPr="00D04A81">
        <w:rPr>
          <w:rFonts w:asciiTheme="majorBidi" w:hAnsiTheme="majorBidi" w:cstheme="majorBidi"/>
          <w:b/>
          <w:bCs/>
          <w:sz w:val="24"/>
          <w:szCs w:val="24"/>
        </w:rPr>
        <w:t>Maaly</w:t>
      </w:r>
      <w:proofErr w:type="spellEnd"/>
      <w:r w:rsidRPr="00D04A81">
        <w:rPr>
          <w:rFonts w:asciiTheme="majorBidi" w:hAnsiTheme="majorBidi" w:cstheme="majorBidi"/>
          <w:b/>
          <w:bCs/>
          <w:sz w:val="24"/>
          <w:szCs w:val="24"/>
        </w:rPr>
        <w:t xml:space="preserve"> M. Mabrouk </w:t>
      </w:r>
      <w:r w:rsidRPr="00D04A81">
        <w:rPr>
          <w:rFonts w:asciiTheme="majorBidi" w:hAnsiTheme="majorBidi" w:cstheme="majorBidi"/>
          <w:b/>
          <w:bCs/>
          <w:sz w:val="24"/>
          <w:szCs w:val="24"/>
          <w:vertAlign w:val="superscript"/>
        </w:rPr>
        <w:t>4</w:t>
      </w:r>
    </w:p>
    <w:p w:rsidR="009A537D" w:rsidRPr="00D04A81" w:rsidRDefault="009A537D" w:rsidP="009A537D">
      <w:pPr>
        <w:tabs>
          <w:tab w:val="left" w:pos="3330"/>
        </w:tabs>
        <w:autoSpaceDE w:val="0"/>
        <w:autoSpaceDN w:val="0"/>
        <w:adjustRightInd w:val="0"/>
        <w:spacing w:before="120" w:after="0" w:line="240" w:lineRule="auto"/>
        <w:jc w:val="both"/>
        <w:rPr>
          <w:rFonts w:asciiTheme="majorBidi" w:hAnsiTheme="majorBidi" w:cstheme="majorBidi"/>
          <w:sz w:val="24"/>
          <w:szCs w:val="24"/>
        </w:rPr>
      </w:pPr>
      <w:r w:rsidRPr="00D04A81">
        <w:rPr>
          <w:rFonts w:asciiTheme="majorBidi" w:hAnsiTheme="majorBidi" w:cstheme="majorBidi"/>
          <w:b/>
          <w:bCs/>
          <w:sz w:val="24"/>
          <w:szCs w:val="24"/>
          <w:vertAlign w:val="superscript"/>
        </w:rPr>
        <w:t>1</w:t>
      </w:r>
      <w:r w:rsidRPr="00D04A81">
        <w:rPr>
          <w:rFonts w:asciiTheme="majorBidi" w:hAnsiTheme="majorBidi" w:cstheme="majorBidi"/>
          <w:sz w:val="24"/>
          <w:szCs w:val="24"/>
        </w:rPr>
        <w:t xml:space="preserve"> Chest Diseases Department, Faculty of Medicine, Tanta University, Egypt</w:t>
      </w:r>
    </w:p>
    <w:p w:rsidR="009A537D" w:rsidRPr="00D04A81" w:rsidRDefault="009A537D" w:rsidP="009A537D">
      <w:pPr>
        <w:tabs>
          <w:tab w:val="left" w:pos="3330"/>
        </w:tabs>
        <w:autoSpaceDE w:val="0"/>
        <w:autoSpaceDN w:val="0"/>
        <w:adjustRightInd w:val="0"/>
        <w:spacing w:before="120" w:after="0" w:line="240" w:lineRule="auto"/>
        <w:jc w:val="both"/>
        <w:rPr>
          <w:rFonts w:asciiTheme="majorBidi" w:hAnsiTheme="majorBidi" w:cstheme="majorBidi"/>
          <w:sz w:val="24"/>
          <w:szCs w:val="24"/>
        </w:rPr>
      </w:pPr>
      <w:r w:rsidRPr="00D04A81">
        <w:rPr>
          <w:rFonts w:asciiTheme="majorBidi" w:hAnsiTheme="majorBidi" w:cstheme="majorBidi"/>
          <w:b/>
          <w:bCs/>
          <w:sz w:val="24"/>
          <w:szCs w:val="24"/>
          <w:vertAlign w:val="superscript"/>
        </w:rPr>
        <w:t>2</w:t>
      </w:r>
      <w:r w:rsidRPr="00D04A81">
        <w:rPr>
          <w:rFonts w:asciiTheme="majorBidi" w:hAnsiTheme="majorBidi" w:cstheme="majorBidi"/>
          <w:sz w:val="24"/>
          <w:szCs w:val="24"/>
        </w:rPr>
        <w:t xml:space="preserve"> Cardiology Department, Faculty of Medicine, Tanta University, Egypt</w:t>
      </w:r>
    </w:p>
    <w:p w:rsidR="009A537D" w:rsidRPr="00D04A81" w:rsidRDefault="009A537D" w:rsidP="009A537D">
      <w:pPr>
        <w:tabs>
          <w:tab w:val="left" w:pos="3330"/>
        </w:tabs>
        <w:autoSpaceDE w:val="0"/>
        <w:autoSpaceDN w:val="0"/>
        <w:adjustRightInd w:val="0"/>
        <w:spacing w:before="120" w:after="0" w:line="240" w:lineRule="auto"/>
        <w:jc w:val="both"/>
        <w:rPr>
          <w:rFonts w:asciiTheme="majorBidi" w:hAnsiTheme="majorBidi" w:cstheme="majorBidi"/>
          <w:sz w:val="24"/>
          <w:szCs w:val="24"/>
        </w:rPr>
      </w:pPr>
      <w:r w:rsidRPr="00D04A81">
        <w:rPr>
          <w:rFonts w:asciiTheme="majorBidi" w:hAnsiTheme="majorBidi" w:cstheme="majorBidi"/>
          <w:b/>
          <w:bCs/>
          <w:sz w:val="24"/>
          <w:szCs w:val="24"/>
          <w:vertAlign w:val="superscript"/>
        </w:rPr>
        <w:t>3</w:t>
      </w:r>
      <w:r w:rsidRPr="00D04A81">
        <w:rPr>
          <w:rFonts w:asciiTheme="majorBidi" w:hAnsiTheme="majorBidi" w:cstheme="majorBidi"/>
          <w:sz w:val="24"/>
          <w:szCs w:val="24"/>
        </w:rPr>
        <w:t xml:space="preserve"> Internal Medicine Department, </w:t>
      </w:r>
      <w:proofErr w:type="spellStart"/>
      <w:r w:rsidRPr="00D04A81">
        <w:rPr>
          <w:rFonts w:asciiTheme="majorBidi" w:hAnsiTheme="majorBidi" w:cstheme="majorBidi"/>
          <w:sz w:val="24"/>
          <w:szCs w:val="24"/>
        </w:rPr>
        <w:t>Qena</w:t>
      </w:r>
      <w:proofErr w:type="spellEnd"/>
      <w:r w:rsidRPr="00D04A81">
        <w:rPr>
          <w:rFonts w:asciiTheme="majorBidi" w:hAnsiTheme="majorBidi" w:cstheme="majorBidi"/>
          <w:sz w:val="24"/>
          <w:szCs w:val="24"/>
        </w:rPr>
        <w:t xml:space="preserve"> Faculty of Medicine, South Valley University, Egypt</w:t>
      </w:r>
    </w:p>
    <w:p w:rsidR="009A537D" w:rsidRPr="00D04A81" w:rsidRDefault="009A537D" w:rsidP="009A537D">
      <w:pPr>
        <w:tabs>
          <w:tab w:val="left" w:pos="3330"/>
        </w:tabs>
        <w:autoSpaceDE w:val="0"/>
        <w:autoSpaceDN w:val="0"/>
        <w:adjustRightInd w:val="0"/>
        <w:spacing w:before="120" w:after="0" w:line="240" w:lineRule="auto"/>
        <w:jc w:val="both"/>
        <w:rPr>
          <w:rFonts w:asciiTheme="majorBidi" w:hAnsiTheme="majorBidi" w:cstheme="majorBidi"/>
          <w:sz w:val="24"/>
          <w:szCs w:val="24"/>
        </w:rPr>
      </w:pPr>
      <w:r w:rsidRPr="00D04A81">
        <w:rPr>
          <w:rFonts w:asciiTheme="majorBidi" w:hAnsiTheme="majorBidi" w:cstheme="majorBidi"/>
          <w:b/>
          <w:bCs/>
          <w:sz w:val="24"/>
          <w:szCs w:val="24"/>
          <w:vertAlign w:val="superscript"/>
        </w:rPr>
        <w:t>4</w:t>
      </w:r>
      <w:r w:rsidRPr="00D04A81">
        <w:rPr>
          <w:rFonts w:asciiTheme="majorBidi" w:hAnsiTheme="majorBidi" w:cstheme="majorBidi"/>
          <w:sz w:val="24"/>
          <w:szCs w:val="24"/>
          <w:vertAlign w:val="superscript"/>
        </w:rPr>
        <w:t xml:space="preserve"> </w:t>
      </w:r>
      <w:r w:rsidRPr="00D04A81">
        <w:rPr>
          <w:rFonts w:asciiTheme="majorBidi" w:hAnsiTheme="majorBidi" w:cstheme="majorBidi"/>
          <w:sz w:val="24"/>
          <w:szCs w:val="24"/>
        </w:rPr>
        <w:t>Clinical Pathology Department, Faculty of Medicine, Tanta University, Egypt</w:t>
      </w:r>
    </w:p>
    <w:p w:rsidR="009A537D" w:rsidRPr="00D04A81" w:rsidRDefault="009A537D" w:rsidP="009A537D">
      <w:pPr>
        <w:tabs>
          <w:tab w:val="left" w:pos="3330"/>
        </w:tabs>
        <w:autoSpaceDE w:val="0"/>
        <w:autoSpaceDN w:val="0"/>
        <w:adjustRightInd w:val="0"/>
        <w:spacing w:after="0" w:line="240" w:lineRule="auto"/>
        <w:jc w:val="both"/>
        <w:rPr>
          <w:rFonts w:asciiTheme="majorBidi" w:hAnsiTheme="majorBidi" w:cstheme="majorBidi"/>
          <w:sz w:val="24"/>
          <w:szCs w:val="24"/>
        </w:rPr>
      </w:pPr>
    </w:p>
    <w:p w:rsidR="00D04A81" w:rsidRPr="00AB5DE5" w:rsidRDefault="00D04A81" w:rsidP="009A537D">
      <w:pPr>
        <w:tabs>
          <w:tab w:val="left" w:pos="3330"/>
        </w:tabs>
        <w:autoSpaceDE w:val="0"/>
        <w:autoSpaceDN w:val="0"/>
        <w:adjustRightInd w:val="0"/>
        <w:spacing w:before="120" w:after="0" w:line="240" w:lineRule="auto"/>
        <w:jc w:val="both"/>
        <w:rPr>
          <w:rFonts w:cstheme="minorHAnsi"/>
          <w:b/>
          <w:bCs/>
          <w:sz w:val="6"/>
          <w:szCs w:val="6"/>
        </w:rPr>
      </w:pPr>
    </w:p>
    <w:p w:rsidR="00D04A81" w:rsidRPr="00D04A81" w:rsidRDefault="00D04A81" w:rsidP="009A537D">
      <w:pPr>
        <w:tabs>
          <w:tab w:val="left" w:pos="3330"/>
        </w:tabs>
        <w:autoSpaceDE w:val="0"/>
        <w:autoSpaceDN w:val="0"/>
        <w:adjustRightInd w:val="0"/>
        <w:spacing w:before="120" w:after="0" w:line="240" w:lineRule="auto"/>
        <w:jc w:val="both"/>
        <w:rPr>
          <w:rFonts w:asciiTheme="majorBidi" w:hAnsiTheme="majorBidi" w:cstheme="majorBidi"/>
          <w:b/>
          <w:bCs/>
          <w:sz w:val="24"/>
          <w:szCs w:val="24"/>
        </w:rPr>
      </w:pPr>
      <w:r w:rsidRPr="00D04A81">
        <w:rPr>
          <w:rFonts w:asciiTheme="majorBidi" w:hAnsiTheme="majorBidi" w:cstheme="majorBidi"/>
          <w:b/>
          <w:bCs/>
          <w:sz w:val="24"/>
          <w:szCs w:val="24"/>
        </w:rPr>
        <w:t>Abstract</w:t>
      </w:r>
    </w:p>
    <w:p w:rsidR="009A537D" w:rsidRPr="00D04A81" w:rsidRDefault="009A537D" w:rsidP="009A537D">
      <w:pPr>
        <w:tabs>
          <w:tab w:val="left" w:pos="3330"/>
        </w:tabs>
        <w:autoSpaceDE w:val="0"/>
        <w:autoSpaceDN w:val="0"/>
        <w:adjustRightInd w:val="0"/>
        <w:spacing w:before="120" w:after="0" w:line="240" w:lineRule="auto"/>
        <w:jc w:val="both"/>
        <w:rPr>
          <w:rFonts w:asciiTheme="majorBidi" w:hAnsiTheme="majorBidi" w:cstheme="majorBidi"/>
          <w:sz w:val="24"/>
          <w:szCs w:val="24"/>
        </w:rPr>
      </w:pPr>
      <w:r w:rsidRPr="00D04A81">
        <w:rPr>
          <w:rFonts w:asciiTheme="majorBidi" w:hAnsiTheme="majorBidi" w:cstheme="majorBidi"/>
          <w:b/>
          <w:bCs/>
          <w:sz w:val="24"/>
          <w:szCs w:val="24"/>
        </w:rPr>
        <w:t>Introduction:</w:t>
      </w:r>
      <w:r w:rsidRPr="00D04A81">
        <w:rPr>
          <w:rFonts w:asciiTheme="majorBidi" w:hAnsiTheme="majorBidi" w:cstheme="majorBidi"/>
          <w:sz w:val="24"/>
          <w:szCs w:val="24"/>
        </w:rPr>
        <w:t xml:space="preserve"> Left ventricular diastolic dysfunction (LVDD) is found to be frequent in COPD patients. Relationship between airflow obstruction and cardiovascular risk can be explained by inflammation which is considered one of systemic manifestations of COPD.</w:t>
      </w:r>
    </w:p>
    <w:p w:rsidR="009A537D" w:rsidRPr="00D04A81" w:rsidRDefault="009A537D" w:rsidP="009A537D">
      <w:pPr>
        <w:tabs>
          <w:tab w:val="left" w:pos="3330"/>
        </w:tabs>
        <w:autoSpaceDE w:val="0"/>
        <w:autoSpaceDN w:val="0"/>
        <w:adjustRightInd w:val="0"/>
        <w:spacing w:before="120" w:after="0" w:line="240" w:lineRule="auto"/>
        <w:jc w:val="both"/>
        <w:rPr>
          <w:rFonts w:asciiTheme="majorBidi" w:hAnsiTheme="majorBidi" w:cstheme="majorBidi"/>
          <w:sz w:val="24"/>
          <w:szCs w:val="24"/>
        </w:rPr>
      </w:pPr>
      <w:r w:rsidRPr="00D04A81">
        <w:rPr>
          <w:rFonts w:asciiTheme="majorBidi" w:hAnsiTheme="majorBidi" w:cstheme="majorBidi"/>
          <w:b/>
          <w:bCs/>
          <w:sz w:val="24"/>
          <w:szCs w:val="24"/>
        </w:rPr>
        <w:t>Objective:</w:t>
      </w:r>
      <w:r w:rsidRPr="00D04A81">
        <w:rPr>
          <w:rFonts w:asciiTheme="majorBidi" w:hAnsiTheme="majorBidi" w:cstheme="majorBidi"/>
          <w:sz w:val="24"/>
          <w:szCs w:val="24"/>
        </w:rPr>
        <w:t xml:space="preserve"> To assess the LVDD in COPD patients in relation to disease severity using echocardiography, N-terminal pro-B-type natriuretic peptide (NT-</w:t>
      </w:r>
      <w:proofErr w:type="spellStart"/>
      <w:r w:rsidRPr="00D04A81">
        <w:rPr>
          <w:rFonts w:asciiTheme="majorBidi" w:hAnsiTheme="majorBidi" w:cstheme="majorBidi"/>
          <w:sz w:val="24"/>
          <w:szCs w:val="24"/>
        </w:rPr>
        <w:t>proBNP</w:t>
      </w:r>
      <w:proofErr w:type="spellEnd"/>
      <w:r w:rsidRPr="00D04A81">
        <w:rPr>
          <w:rFonts w:asciiTheme="majorBidi" w:hAnsiTheme="majorBidi" w:cstheme="majorBidi"/>
          <w:sz w:val="24"/>
          <w:szCs w:val="24"/>
        </w:rPr>
        <w:t xml:space="preserve">) and </w:t>
      </w:r>
      <w:proofErr w:type="gramStart"/>
      <w:r w:rsidRPr="00D04A81">
        <w:rPr>
          <w:rFonts w:asciiTheme="majorBidi" w:hAnsiTheme="majorBidi" w:cstheme="majorBidi"/>
          <w:sz w:val="24"/>
          <w:szCs w:val="24"/>
        </w:rPr>
        <w:t>high</w:t>
      </w:r>
      <w:proofErr w:type="gramEnd"/>
      <w:r w:rsidRPr="00D04A81">
        <w:rPr>
          <w:rFonts w:asciiTheme="majorBidi" w:hAnsiTheme="majorBidi" w:cstheme="majorBidi"/>
          <w:sz w:val="24"/>
          <w:szCs w:val="24"/>
        </w:rPr>
        <w:t xml:space="preserve"> sensitive C-reactive protein (</w:t>
      </w:r>
      <w:proofErr w:type="spellStart"/>
      <w:r w:rsidRPr="00D04A81">
        <w:rPr>
          <w:rFonts w:asciiTheme="majorBidi" w:hAnsiTheme="majorBidi" w:cstheme="majorBidi"/>
          <w:sz w:val="24"/>
          <w:szCs w:val="24"/>
        </w:rPr>
        <w:t>hs</w:t>
      </w:r>
      <w:proofErr w:type="spellEnd"/>
      <w:r w:rsidRPr="00D04A81">
        <w:rPr>
          <w:rFonts w:asciiTheme="majorBidi" w:hAnsiTheme="majorBidi" w:cstheme="majorBidi"/>
          <w:sz w:val="24"/>
          <w:szCs w:val="24"/>
        </w:rPr>
        <w:t xml:space="preserve">-CRP). </w:t>
      </w:r>
    </w:p>
    <w:p w:rsidR="009A537D" w:rsidRPr="00D04A81" w:rsidRDefault="009A537D" w:rsidP="009A537D">
      <w:pPr>
        <w:tabs>
          <w:tab w:val="left" w:pos="3330"/>
        </w:tabs>
        <w:autoSpaceDE w:val="0"/>
        <w:autoSpaceDN w:val="0"/>
        <w:adjustRightInd w:val="0"/>
        <w:spacing w:before="120" w:after="0" w:line="240" w:lineRule="auto"/>
        <w:jc w:val="both"/>
        <w:rPr>
          <w:rFonts w:asciiTheme="majorBidi" w:hAnsiTheme="majorBidi" w:cstheme="majorBidi"/>
          <w:sz w:val="24"/>
          <w:szCs w:val="24"/>
        </w:rPr>
      </w:pPr>
      <w:r w:rsidRPr="00D04A81">
        <w:rPr>
          <w:rFonts w:asciiTheme="majorBidi" w:hAnsiTheme="majorBidi" w:cstheme="majorBidi"/>
          <w:b/>
          <w:bCs/>
          <w:sz w:val="24"/>
          <w:szCs w:val="24"/>
        </w:rPr>
        <w:t>Patients and methods:</w:t>
      </w:r>
      <w:r w:rsidRPr="00D04A81">
        <w:rPr>
          <w:rFonts w:asciiTheme="majorBidi" w:hAnsiTheme="majorBidi" w:cstheme="majorBidi"/>
          <w:sz w:val="24"/>
          <w:szCs w:val="24"/>
        </w:rPr>
        <w:t xml:space="preserve"> This prospective study was carried out on 60 stable COPD patients who were recruited from outpatient chest clinics, Tanta University Hospitals. Diagnosis of COPD was made according to criteria of the Global Initiative for Chronic Obstructive Lung Disease. Patients were subjected to medical history and physical examination, chest X ray, pulmonary functions, ECG and echocardiography. Blood samples were withdrawn for assessment of NT-</w:t>
      </w:r>
      <w:proofErr w:type="spellStart"/>
      <w:r w:rsidRPr="00D04A81">
        <w:rPr>
          <w:rFonts w:asciiTheme="majorBidi" w:hAnsiTheme="majorBidi" w:cstheme="majorBidi"/>
          <w:sz w:val="24"/>
          <w:szCs w:val="24"/>
        </w:rPr>
        <w:t>proBNP</w:t>
      </w:r>
      <w:proofErr w:type="spellEnd"/>
      <w:r w:rsidRPr="00D04A81">
        <w:rPr>
          <w:rFonts w:asciiTheme="majorBidi" w:hAnsiTheme="majorBidi" w:cstheme="majorBidi"/>
          <w:sz w:val="24"/>
          <w:szCs w:val="24"/>
        </w:rPr>
        <w:t xml:space="preserve"> and </w:t>
      </w:r>
      <w:proofErr w:type="spellStart"/>
      <w:r w:rsidRPr="00D04A81">
        <w:rPr>
          <w:rFonts w:asciiTheme="majorBidi" w:hAnsiTheme="majorBidi" w:cstheme="majorBidi"/>
          <w:sz w:val="24"/>
          <w:szCs w:val="24"/>
        </w:rPr>
        <w:t>hs</w:t>
      </w:r>
      <w:proofErr w:type="spellEnd"/>
      <w:r w:rsidRPr="00D04A81">
        <w:rPr>
          <w:rFonts w:asciiTheme="majorBidi" w:hAnsiTheme="majorBidi" w:cstheme="majorBidi"/>
          <w:sz w:val="24"/>
          <w:szCs w:val="24"/>
        </w:rPr>
        <w:t xml:space="preserve">-CRP. </w:t>
      </w:r>
    </w:p>
    <w:p w:rsidR="009A537D" w:rsidRPr="00D04A81" w:rsidRDefault="009A537D" w:rsidP="009A537D">
      <w:pPr>
        <w:tabs>
          <w:tab w:val="left" w:pos="3330"/>
        </w:tabs>
        <w:autoSpaceDE w:val="0"/>
        <w:autoSpaceDN w:val="0"/>
        <w:adjustRightInd w:val="0"/>
        <w:spacing w:before="120" w:after="0" w:line="240" w:lineRule="auto"/>
        <w:jc w:val="both"/>
        <w:rPr>
          <w:rFonts w:asciiTheme="majorBidi" w:hAnsiTheme="majorBidi" w:cstheme="majorBidi"/>
          <w:sz w:val="24"/>
          <w:szCs w:val="24"/>
        </w:rPr>
      </w:pPr>
      <w:r w:rsidRPr="00D04A81">
        <w:rPr>
          <w:rFonts w:asciiTheme="majorBidi" w:hAnsiTheme="majorBidi" w:cstheme="majorBidi"/>
          <w:b/>
          <w:bCs/>
          <w:sz w:val="24"/>
          <w:szCs w:val="24"/>
        </w:rPr>
        <w:t>Results:</w:t>
      </w:r>
      <w:r w:rsidRPr="00D04A81">
        <w:rPr>
          <w:rFonts w:asciiTheme="majorBidi" w:hAnsiTheme="majorBidi" w:cstheme="majorBidi"/>
          <w:sz w:val="24"/>
          <w:szCs w:val="24"/>
        </w:rPr>
        <w:t xml:space="preserve"> Diastolic function of the heart was evaluated by echocardiography using: isovolumetric relaxation time (IVRT), deceleration time of early </w:t>
      </w:r>
      <w:proofErr w:type="spellStart"/>
      <w:r w:rsidRPr="00D04A81">
        <w:rPr>
          <w:rFonts w:asciiTheme="majorBidi" w:hAnsiTheme="majorBidi" w:cstheme="majorBidi"/>
          <w:sz w:val="24"/>
          <w:szCs w:val="24"/>
        </w:rPr>
        <w:t>transmitral</w:t>
      </w:r>
      <w:proofErr w:type="spellEnd"/>
      <w:r w:rsidRPr="00D04A81">
        <w:rPr>
          <w:rFonts w:asciiTheme="majorBidi" w:hAnsiTheme="majorBidi" w:cstheme="majorBidi"/>
          <w:sz w:val="24"/>
          <w:szCs w:val="24"/>
        </w:rPr>
        <w:t xml:space="preserve"> flow, ratio of the peak velocity of the early E wave/A wave which suggested that LVDD was recorded more in severe/very severe compared to mild/moderate COPD. Significant positive correlations were found between </w:t>
      </w:r>
      <w:proofErr w:type="spellStart"/>
      <w:r w:rsidRPr="00D04A81">
        <w:rPr>
          <w:rFonts w:asciiTheme="majorBidi" w:hAnsiTheme="majorBidi" w:cstheme="majorBidi"/>
          <w:sz w:val="24"/>
          <w:szCs w:val="24"/>
        </w:rPr>
        <w:t>Nt</w:t>
      </w:r>
      <w:proofErr w:type="spellEnd"/>
      <w:r w:rsidRPr="00D04A81">
        <w:rPr>
          <w:rFonts w:asciiTheme="majorBidi" w:hAnsiTheme="majorBidi" w:cstheme="majorBidi"/>
          <w:sz w:val="24"/>
          <w:szCs w:val="24"/>
        </w:rPr>
        <w:t xml:space="preserve">-pro BNP and </w:t>
      </w:r>
      <w:proofErr w:type="spellStart"/>
      <w:r w:rsidRPr="00D04A81">
        <w:rPr>
          <w:rFonts w:asciiTheme="majorBidi" w:hAnsiTheme="majorBidi" w:cstheme="majorBidi"/>
          <w:sz w:val="24"/>
          <w:szCs w:val="24"/>
        </w:rPr>
        <w:t>hs</w:t>
      </w:r>
      <w:proofErr w:type="spellEnd"/>
      <w:r w:rsidRPr="00D04A81">
        <w:rPr>
          <w:rFonts w:asciiTheme="majorBidi" w:hAnsiTheme="majorBidi" w:cstheme="majorBidi"/>
          <w:sz w:val="24"/>
          <w:szCs w:val="24"/>
        </w:rPr>
        <w:t xml:space="preserve">-CRP, IVRT, deceleration time of early </w:t>
      </w:r>
      <w:proofErr w:type="spellStart"/>
      <w:r w:rsidRPr="00D04A81">
        <w:rPr>
          <w:rFonts w:asciiTheme="majorBidi" w:hAnsiTheme="majorBidi" w:cstheme="majorBidi"/>
          <w:sz w:val="24"/>
          <w:szCs w:val="24"/>
        </w:rPr>
        <w:t>transmitral</w:t>
      </w:r>
      <w:proofErr w:type="spellEnd"/>
      <w:r w:rsidRPr="00D04A81">
        <w:rPr>
          <w:rFonts w:asciiTheme="majorBidi" w:hAnsiTheme="majorBidi" w:cstheme="majorBidi"/>
          <w:sz w:val="24"/>
          <w:szCs w:val="24"/>
        </w:rPr>
        <w:t xml:space="preserve"> flow and E/A wave ratio. Sensitivity, specificity and accuracy were 83.1, 90 and 0.94% for </w:t>
      </w:r>
      <w:proofErr w:type="spellStart"/>
      <w:r w:rsidRPr="00D04A81">
        <w:rPr>
          <w:rFonts w:asciiTheme="majorBidi" w:hAnsiTheme="majorBidi" w:cstheme="majorBidi"/>
          <w:sz w:val="24"/>
          <w:szCs w:val="24"/>
        </w:rPr>
        <w:t>Nt</w:t>
      </w:r>
      <w:proofErr w:type="spellEnd"/>
      <w:r w:rsidRPr="00D04A81">
        <w:rPr>
          <w:rFonts w:asciiTheme="majorBidi" w:hAnsiTheme="majorBidi" w:cstheme="majorBidi"/>
          <w:sz w:val="24"/>
          <w:szCs w:val="24"/>
        </w:rPr>
        <w:t>-pro BNP.</w:t>
      </w:r>
    </w:p>
    <w:p w:rsidR="009A537D" w:rsidRPr="00D04A81" w:rsidRDefault="009A537D" w:rsidP="009A537D">
      <w:pPr>
        <w:tabs>
          <w:tab w:val="left" w:pos="3330"/>
        </w:tabs>
        <w:autoSpaceDE w:val="0"/>
        <w:autoSpaceDN w:val="0"/>
        <w:adjustRightInd w:val="0"/>
        <w:spacing w:before="120" w:after="0" w:line="240" w:lineRule="auto"/>
        <w:jc w:val="both"/>
        <w:rPr>
          <w:rFonts w:asciiTheme="majorBidi" w:hAnsiTheme="majorBidi" w:cstheme="majorBidi"/>
          <w:sz w:val="24"/>
          <w:szCs w:val="24"/>
        </w:rPr>
      </w:pPr>
      <w:r w:rsidRPr="00D04A81">
        <w:rPr>
          <w:rFonts w:asciiTheme="majorBidi" w:hAnsiTheme="majorBidi" w:cstheme="majorBidi"/>
          <w:b/>
          <w:bCs/>
          <w:sz w:val="24"/>
          <w:szCs w:val="24"/>
        </w:rPr>
        <w:t>Conclusions:</w:t>
      </w:r>
      <w:r w:rsidRPr="00D04A81">
        <w:rPr>
          <w:rFonts w:asciiTheme="majorBidi" w:hAnsiTheme="majorBidi" w:cstheme="majorBidi"/>
          <w:sz w:val="24"/>
          <w:szCs w:val="24"/>
        </w:rPr>
        <w:t xml:space="preserve"> Evaluation of NT-</w:t>
      </w:r>
      <w:proofErr w:type="spellStart"/>
      <w:r w:rsidRPr="00D04A81">
        <w:rPr>
          <w:rFonts w:asciiTheme="majorBidi" w:hAnsiTheme="majorBidi" w:cstheme="majorBidi"/>
          <w:sz w:val="24"/>
          <w:szCs w:val="24"/>
        </w:rPr>
        <w:t>proBNP</w:t>
      </w:r>
      <w:proofErr w:type="spellEnd"/>
      <w:r w:rsidRPr="00D04A81">
        <w:rPr>
          <w:rFonts w:asciiTheme="majorBidi" w:hAnsiTheme="majorBidi" w:cstheme="majorBidi"/>
          <w:sz w:val="24"/>
          <w:szCs w:val="24"/>
        </w:rPr>
        <w:t xml:space="preserve"> was important for detection of LVDD in COPD patients, which was correlated with disease severity. Echocardiographic assessment of COPD patients, especially in combination with NT-</w:t>
      </w:r>
      <w:proofErr w:type="spellStart"/>
      <w:r w:rsidRPr="00D04A81">
        <w:rPr>
          <w:rFonts w:asciiTheme="majorBidi" w:hAnsiTheme="majorBidi" w:cstheme="majorBidi"/>
          <w:sz w:val="24"/>
          <w:szCs w:val="24"/>
        </w:rPr>
        <w:t>proBNP</w:t>
      </w:r>
      <w:proofErr w:type="spellEnd"/>
      <w:r w:rsidRPr="00D04A81">
        <w:rPr>
          <w:rFonts w:asciiTheme="majorBidi" w:hAnsiTheme="majorBidi" w:cstheme="majorBidi"/>
          <w:sz w:val="24"/>
          <w:szCs w:val="24"/>
        </w:rPr>
        <w:t xml:space="preserve"> can be considered as good diagnostic tools of LVDD in COPD.</w:t>
      </w:r>
    </w:p>
    <w:p w:rsidR="00AB5DE5" w:rsidRDefault="00AB5DE5" w:rsidP="00AB5DE5">
      <w:pPr>
        <w:autoSpaceDE w:val="0"/>
        <w:autoSpaceDN w:val="0"/>
        <w:adjustRightInd w:val="0"/>
        <w:spacing w:after="0" w:line="240" w:lineRule="auto"/>
        <w:rPr>
          <w:rFonts w:ascii="AdvGulliv-R" w:hAnsi="AdvGulliv-R" w:cs="AdvGulliv-R"/>
          <w:sz w:val="13"/>
          <w:szCs w:val="13"/>
        </w:rPr>
      </w:pPr>
    </w:p>
    <w:p w:rsidR="005F7457" w:rsidRPr="00D04A81" w:rsidRDefault="00AB5DE5" w:rsidP="00AB5DE5">
      <w:pPr>
        <w:tabs>
          <w:tab w:val="left" w:pos="3330"/>
        </w:tabs>
        <w:autoSpaceDE w:val="0"/>
        <w:autoSpaceDN w:val="0"/>
        <w:adjustRightInd w:val="0"/>
        <w:spacing w:before="120" w:after="0" w:line="240" w:lineRule="auto"/>
        <w:jc w:val="both"/>
        <w:rPr>
          <w:rFonts w:asciiTheme="majorBidi" w:hAnsiTheme="majorBidi" w:cstheme="majorBidi"/>
          <w:sz w:val="24"/>
          <w:szCs w:val="24"/>
        </w:rPr>
      </w:pPr>
      <w:r w:rsidRPr="00AB5DE5">
        <w:rPr>
          <w:rFonts w:asciiTheme="majorBidi" w:hAnsiTheme="majorBidi" w:cstheme="majorBidi"/>
          <w:sz w:val="24"/>
          <w:szCs w:val="24"/>
        </w:rPr>
        <w:t xml:space="preserve">Key words: </w:t>
      </w:r>
      <w:r w:rsidRPr="00AB5DE5">
        <w:rPr>
          <w:rFonts w:asciiTheme="majorBidi" w:hAnsiTheme="majorBidi" w:cstheme="majorBidi"/>
          <w:sz w:val="24"/>
          <w:szCs w:val="24"/>
        </w:rPr>
        <w:t>COPD</w:t>
      </w:r>
      <w:r>
        <w:rPr>
          <w:rFonts w:asciiTheme="majorBidi" w:hAnsiTheme="majorBidi" w:cstheme="majorBidi"/>
          <w:sz w:val="24"/>
          <w:szCs w:val="24"/>
        </w:rPr>
        <w:t xml:space="preserve">, </w:t>
      </w:r>
      <w:r w:rsidRPr="00AB5DE5">
        <w:rPr>
          <w:rFonts w:asciiTheme="majorBidi" w:hAnsiTheme="majorBidi" w:cstheme="majorBidi"/>
          <w:sz w:val="24"/>
          <w:szCs w:val="24"/>
        </w:rPr>
        <w:t>Left ventricular diastolic dysfunction</w:t>
      </w:r>
      <w:r>
        <w:rPr>
          <w:rFonts w:asciiTheme="majorBidi" w:hAnsiTheme="majorBidi" w:cstheme="majorBidi"/>
          <w:sz w:val="24"/>
          <w:szCs w:val="24"/>
        </w:rPr>
        <w:t xml:space="preserve">, </w:t>
      </w:r>
      <w:r w:rsidRPr="00AB5DE5">
        <w:rPr>
          <w:rFonts w:asciiTheme="majorBidi" w:hAnsiTheme="majorBidi" w:cstheme="majorBidi"/>
          <w:sz w:val="24"/>
          <w:szCs w:val="24"/>
        </w:rPr>
        <w:t>NT-</w:t>
      </w:r>
      <w:proofErr w:type="spellStart"/>
      <w:r w:rsidRPr="00AB5DE5">
        <w:rPr>
          <w:rFonts w:asciiTheme="majorBidi" w:hAnsiTheme="majorBidi" w:cstheme="majorBidi"/>
          <w:sz w:val="24"/>
          <w:szCs w:val="24"/>
        </w:rPr>
        <w:t>proBNP</w:t>
      </w:r>
      <w:proofErr w:type="spellEnd"/>
      <w:r>
        <w:rPr>
          <w:rFonts w:asciiTheme="majorBidi" w:hAnsiTheme="majorBidi" w:cstheme="majorBidi"/>
          <w:sz w:val="24"/>
          <w:szCs w:val="24"/>
        </w:rPr>
        <w:t xml:space="preserve">, </w:t>
      </w:r>
      <w:proofErr w:type="spellStart"/>
      <w:r w:rsidRPr="00AB5DE5">
        <w:rPr>
          <w:rFonts w:asciiTheme="majorBidi" w:hAnsiTheme="majorBidi" w:cstheme="majorBidi"/>
          <w:sz w:val="24"/>
          <w:szCs w:val="24"/>
        </w:rPr>
        <w:t>hs</w:t>
      </w:r>
      <w:proofErr w:type="spellEnd"/>
      <w:r w:rsidRPr="00AB5DE5">
        <w:rPr>
          <w:rFonts w:asciiTheme="majorBidi" w:hAnsiTheme="majorBidi" w:cstheme="majorBidi"/>
          <w:sz w:val="24"/>
          <w:szCs w:val="24"/>
        </w:rPr>
        <w:t>-CRP</w:t>
      </w:r>
      <w:r>
        <w:rPr>
          <w:rFonts w:asciiTheme="majorBidi" w:hAnsiTheme="majorBidi" w:cstheme="majorBidi"/>
          <w:sz w:val="24"/>
          <w:szCs w:val="24"/>
        </w:rPr>
        <w:t xml:space="preserve">, </w:t>
      </w:r>
      <w:r w:rsidRPr="00AB5DE5">
        <w:rPr>
          <w:rFonts w:asciiTheme="majorBidi" w:hAnsiTheme="majorBidi" w:cstheme="majorBidi"/>
          <w:sz w:val="24"/>
          <w:szCs w:val="24"/>
        </w:rPr>
        <w:t>Echocardiography</w:t>
      </w:r>
    </w:p>
    <w:p w:rsidR="000C1C2B" w:rsidRDefault="000C1C2B" w:rsidP="00B930C3">
      <w:pPr>
        <w:autoSpaceDE w:val="0"/>
        <w:autoSpaceDN w:val="0"/>
        <w:adjustRightInd w:val="0"/>
        <w:spacing w:after="0" w:line="240" w:lineRule="auto"/>
        <w:rPr>
          <w:b/>
          <w:sz w:val="26"/>
          <w:szCs w:val="26"/>
          <w:lang w:val="en-NZ"/>
        </w:rPr>
      </w:pPr>
    </w:p>
    <w:p w:rsidR="000C1C2B" w:rsidRPr="00AB2E5E" w:rsidRDefault="000C1C2B" w:rsidP="000C1C2B">
      <w:pPr>
        <w:rPr>
          <w:rFonts w:ascii="Times New Roman" w:hAnsi="Times New Roman" w:cs="Times New Roman"/>
          <w:sz w:val="24"/>
          <w:szCs w:val="24"/>
        </w:rPr>
      </w:pPr>
      <w:r w:rsidRPr="00AB2E5E">
        <w:rPr>
          <w:rFonts w:ascii="Times New Roman" w:hAnsi="Times New Roman" w:cs="Times New Roman"/>
          <w:b/>
          <w:sz w:val="24"/>
          <w:szCs w:val="24"/>
        </w:rPr>
        <w:t>Recent Publications</w:t>
      </w:r>
      <w:r w:rsidRPr="00AB2E5E">
        <w:rPr>
          <w:rFonts w:ascii="Times New Roman" w:hAnsi="Times New Roman" w:cs="Times New Roman"/>
          <w:sz w:val="24"/>
          <w:szCs w:val="24"/>
        </w:rPr>
        <w:t xml:space="preserve"> (minimum 5)</w:t>
      </w:r>
    </w:p>
    <w:p w:rsidR="000C1C2B" w:rsidRPr="00A70E2F" w:rsidRDefault="000C1C2B" w:rsidP="000C1C2B">
      <w:pPr>
        <w:pStyle w:val="ListParagraph"/>
        <w:numPr>
          <w:ilvl w:val="0"/>
          <w:numId w:val="1"/>
        </w:numPr>
        <w:autoSpaceDE w:val="0"/>
        <w:autoSpaceDN w:val="0"/>
        <w:adjustRightInd w:val="0"/>
        <w:spacing w:after="0" w:line="240" w:lineRule="auto"/>
        <w:jc w:val="both"/>
        <w:rPr>
          <w:rFonts w:asciiTheme="majorBidi" w:hAnsiTheme="majorBidi" w:cstheme="majorBidi"/>
          <w:sz w:val="24"/>
          <w:szCs w:val="24"/>
        </w:rPr>
      </w:pPr>
      <w:r w:rsidRPr="00A70E2F">
        <w:rPr>
          <w:rFonts w:asciiTheme="majorBidi" w:hAnsiTheme="majorBidi" w:cstheme="majorBidi"/>
          <w:sz w:val="24"/>
          <w:szCs w:val="24"/>
        </w:rPr>
        <w:t>The utility of maximal oxygen uptake testing as cardiovascular disease risk marker in female patients with rheumatoid arthritis without associated lung disease</w:t>
      </w:r>
      <w:r>
        <w:rPr>
          <w:rFonts w:asciiTheme="majorBidi" w:hAnsiTheme="majorBidi" w:cstheme="majorBidi"/>
          <w:sz w:val="24"/>
          <w:szCs w:val="24"/>
        </w:rPr>
        <w:t>.</w:t>
      </w:r>
    </w:p>
    <w:p w:rsidR="000C1C2B" w:rsidRPr="00A70E2F" w:rsidRDefault="000C1C2B" w:rsidP="000C1C2B">
      <w:pPr>
        <w:pStyle w:val="ListParagraph"/>
        <w:numPr>
          <w:ilvl w:val="0"/>
          <w:numId w:val="1"/>
        </w:numPr>
        <w:autoSpaceDE w:val="0"/>
        <w:autoSpaceDN w:val="0"/>
        <w:adjustRightInd w:val="0"/>
        <w:spacing w:after="0" w:line="240" w:lineRule="auto"/>
        <w:jc w:val="both"/>
        <w:rPr>
          <w:rFonts w:asciiTheme="majorBidi" w:hAnsiTheme="majorBidi" w:cstheme="majorBidi"/>
          <w:sz w:val="24"/>
          <w:szCs w:val="24"/>
        </w:rPr>
      </w:pPr>
      <w:r w:rsidRPr="00A70E2F">
        <w:rPr>
          <w:rFonts w:asciiTheme="majorBidi" w:hAnsiTheme="majorBidi" w:cstheme="majorBidi"/>
          <w:sz w:val="24"/>
          <w:szCs w:val="24"/>
        </w:rPr>
        <w:lastRenderedPageBreak/>
        <w:t>Treatment outcomes of tuberculosis among new smear-positive and retreatment cases: a retrospective study in two Egyptian governorates</w:t>
      </w:r>
      <w:r>
        <w:rPr>
          <w:rFonts w:asciiTheme="majorBidi" w:hAnsiTheme="majorBidi" w:cstheme="majorBidi"/>
          <w:sz w:val="24"/>
          <w:szCs w:val="24"/>
        </w:rPr>
        <w:t>.</w:t>
      </w:r>
    </w:p>
    <w:p w:rsidR="000C1C2B" w:rsidRPr="00A70E2F" w:rsidRDefault="000C1C2B" w:rsidP="000C1C2B">
      <w:pPr>
        <w:pStyle w:val="ListParagraph"/>
        <w:numPr>
          <w:ilvl w:val="0"/>
          <w:numId w:val="1"/>
        </w:numPr>
        <w:autoSpaceDE w:val="0"/>
        <w:autoSpaceDN w:val="0"/>
        <w:adjustRightInd w:val="0"/>
        <w:spacing w:after="0" w:line="240" w:lineRule="auto"/>
        <w:jc w:val="both"/>
        <w:rPr>
          <w:rFonts w:asciiTheme="majorBidi" w:hAnsiTheme="majorBidi" w:cstheme="majorBidi"/>
          <w:sz w:val="24"/>
          <w:szCs w:val="24"/>
        </w:rPr>
      </w:pPr>
      <w:r w:rsidRPr="00A70E2F">
        <w:rPr>
          <w:rFonts w:asciiTheme="majorBidi" w:hAnsiTheme="majorBidi" w:cstheme="majorBidi"/>
          <w:sz w:val="24"/>
          <w:szCs w:val="24"/>
        </w:rPr>
        <w:t xml:space="preserve">Diagnostic yield and safety of medical thoracoscopic versus computed tomography-guided percutaneous </w:t>
      </w:r>
      <w:proofErr w:type="spellStart"/>
      <w:r w:rsidRPr="00A70E2F">
        <w:rPr>
          <w:rFonts w:asciiTheme="majorBidi" w:hAnsiTheme="majorBidi" w:cstheme="majorBidi"/>
          <w:sz w:val="24"/>
          <w:szCs w:val="24"/>
        </w:rPr>
        <w:t>tru</w:t>
      </w:r>
      <w:proofErr w:type="spellEnd"/>
      <w:r w:rsidRPr="00A70E2F">
        <w:rPr>
          <w:rFonts w:asciiTheme="majorBidi" w:hAnsiTheme="majorBidi" w:cstheme="majorBidi"/>
          <w:sz w:val="24"/>
          <w:szCs w:val="24"/>
        </w:rPr>
        <w:t>-cut pleural biopsy</w:t>
      </w:r>
      <w:r>
        <w:rPr>
          <w:rFonts w:asciiTheme="majorBidi" w:hAnsiTheme="majorBidi" w:cstheme="majorBidi"/>
          <w:sz w:val="24"/>
          <w:szCs w:val="24"/>
        </w:rPr>
        <w:t>.</w:t>
      </w:r>
    </w:p>
    <w:p w:rsidR="000C1C2B" w:rsidRPr="00A70E2F" w:rsidRDefault="000C1C2B" w:rsidP="000C1C2B">
      <w:pPr>
        <w:pStyle w:val="ListParagraph"/>
        <w:numPr>
          <w:ilvl w:val="0"/>
          <w:numId w:val="1"/>
        </w:numPr>
        <w:autoSpaceDE w:val="0"/>
        <w:autoSpaceDN w:val="0"/>
        <w:adjustRightInd w:val="0"/>
        <w:spacing w:after="0" w:line="240" w:lineRule="auto"/>
        <w:jc w:val="both"/>
        <w:rPr>
          <w:rFonts w:asciiTheme="majorBidi" w:hAnsiTheme="majorBidi" w:cstheme="majorBidi"/>
          <w:sz w:val="24"/>
          <w:szCs w:val="24"/>
        </w:rPr>
      </w:pPr>
      <w:r w:rsidRPr="00A70E2F">
        <w:rPr>
          <w:rFonts w:asciiTheme="majorBidi" w:hAnsiTheme="majorBidi" w:cstheme="majorBidi"/>
          <w:sz w:val="24"/>
          <w:szCs w:val="24"/>
        </w:rPr>
        <w:t xml:space="preserve">Outcomes and safety of bronchial artery embolization in control of massive </w:t>
      </w:r>
      <w:proofErr w:type="spellStart"/>
      <w:r w:rsidRPr="00A70E2F">
        <w:rPr>
          <w:rFonts w:asciiTheme="majorBidi" w:hAnsiTheme="majorBidi" w:cstheme="majorBidi"/>
          <w:sz w:val="24"/>
          <w:szCs w:val="24"/>
        </w:rPr>
        <w:t>hemoptysis</w:t>
      </w:r>
      <w:proofErr w:type="spellEnd"/>
      <w:r>
        <w:rPr>
          <w:rFonts w:asciiTheme="majorBidi" w:hAnsiTheme="majorBidi" w:cstheme="majorBidi"/>
          <w:sz w:val="24"/>
          <w:szCs w:val="24"/>
        </w:rPr>
        <w:t>.</w:t>
      </w:r>
    </w:p>
    <w:p w:rsidR="000C1C2B" w:rsidRPr="00A70E2F" w:rsidRDefault="000C1C2B" w:rsidP="000C1C2B">
      <w:pPr>
        <w:pStyle w:val="ListParagraph"/>
        <w:numPr>
          <w:ilvl w:val="0"/>
          <w:numId w:val="1"/>
        </w:numPr>
        <w:autoSpaceDE w:val="0"/>
        <w:autoSpaceDN w:val="0"/>
        <w:adjustRightInd w:val="0"/>
        <w:spacing w:after="0" w:line="240" w:lineRule="auto"/>
        <w:jc w:val="both"/>
        <w:rPr>
          <w:rFonts w:asciiTheme="majorBidi" w:hAnsiTheme="majorBidi" w:cstheme="majorBidi"/>
          <w:sz w:val="14"/>
          <w:szCs w:val="14"/>
        </w:rPr>
      </w:pPr>
      <w:r w:rsidRPr="00A70E2F">
        <w:rPr>
          <w:rFonts w:asciiTheme="majorBidi" w:hAnsiTheme="majorBidi" w:cstheme="majorBidi"/>
          <w:sz w:val="24"/>
          <w:szCs w:val="24"/>
        </w:rPr>
        <w:t>The prevalence and pattern of pneumonia among Hajj pilgrims: a study of two successive Hajj seasons</w:t>
      </w:r>
      <w:r>
        <w:rPr>
          <w:rFonts w:asciiTheme="majorBidi" w:hAnsiTheme="majorBidi" w:cstheme="majorBidi"/>
          <w:sz w:val="24"/>
          <w:szCs w:val="24"/>
        </w:rPr>
        <w:t>.</w:t>
      </w:r>
    </w:p>
    <w:p w:rsidR="000C1C2B" w:rsidRDefault="000C1C2B" w:rsidP="00B930C3">
      <w:pPr>
        <w:autoSpaceDE w:val="0"/>
        <w:autoSpaceDN w:val="0"/>
        <w:adjustRightInd w:val="0"/>
        <w:spacing w:after="0" w:line="240" w:lineRule="auto"/>
        <w:rPr>
          <w:b/>
          <w:sz w:val="26"/>
          <w:szCs w:val="26"/>
          <w:lang w:val="en-NZ"/>
        </w:rPr>
      </w:pPr>
    </w:p>
    <w:p w:rsidR="005C06BB" w:rsidRPr="00AB2E5E" w:rsidRDefault="005C06BB" w:rsidP="005C06BB">
      <w:pPr>
        <w:rPr>
          <w:rFonts w:ascii="Times New Roman" w:hAnsi="Times New Roman" w:cs="Times New Roman"/>
          <w:sz w:val="24"/>
          <w:szCs w:val="24"/>
        </w:rPr>
      </w:pPr>
      <w:r w:rsidRPr="00AB2E5E">
        <w:rPr>
          <w:rFonts w:ascii="Times New Roman" w:hAnsi="Times New Roman" w:cs="Times New Roman"/>
          <w:sz w:val="24"/>
          <w:szCs w:val="24"/>
        </w:rPr>
        <w:t>Recent Photograph: Passport Size</w:t>
      </w:r>
    </w:p>
    <w:p w:rsidR="005C06BB" w:rsidRPr="00AB2E5E" w:rsidRDefault="005C06BB" w:rsidP="005C06BB">
      <w:pPr>
        <w:rPr>
          <w:rFonts w:ascii="Times New Roman" w:hAnsi="Times New Roman" w:cs="Times New Roman"/>
          <w:sz w:val="24"/>
          <w:szCs w:val="24"/>
        </w:rPr>
      </w:pPr>
      <w:r w:rsidRPr="00AB2E5E">
        <w:rPr>
          <w:rFonts w:ascii="Times New Roman" w:hAnsi="Times New Roman" w:cs="Times New Roman"/>
          <w:noProof/>
          <w:sz w:val="24"/>
          <w:szCs w:val="24"/>
          <w:lang w:eastAsia="en-IN"/>
        </w:rPr>
        <mc:AlternateContent>
          <mc:Choice Requires="wps">
            <w:drawing>
              <wp:anchor distT="0" distB="0" distL="114300" distR="114300" simplePos="0" relativeHeight="251659264" behindDoc="0" locked="0" layoutInCell="1" allowOverlap="1" wp14:anchorId="1C377E3F" wp14:editId="17F2F90D">
                <wp:simplePos x="0" y="0"/>
                <wp:positionH relativeFrom="column">
                  <wp:posOffset>92075</wp:posOffset>
                </wp:positionH>
                <wp:positionV relativeFrom="paragraph">
                  <wp:posOffset>12700</wp:posOffset>
                </wp:positionV>
                <wp:extent cx="1133475" cy="1283335"/>
                <wp:effectExtent l="0" t="0" r="28575" b="1206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1283335"/>
                        </a:xfrm>
                        <a:prstGeom prst="rect">
                          <a:avLst/>
                        </a:prstGeom>
                        <a:solidFill>
                          <a:srgbClr val="FFFFFF"/>
                        </a:solidFill>
                        <a:ln w="9525">
                          <a:solidFill>
                            <a:srgbClr val="000000"/>
                          </a:solidFill>
                          <a:miter lim="800000"/>
                          <a:headEnd/>
                          <a:tailEnd/>
                        </a:ln>
                      </wps:spPr>
                      <wps:txbx>
                        <w:txbxContent>
                          <w:p w:rsidR="005C06BB" w:rsidRDefault="004814E1" w:rsidP="005C06BB">
                            <w:r>
                              <w:rPr>
                                <w:noProof/>
                              </w:rPr>
                              <w:drawing>
                                <wp:inline distT="0" distB="0" distL="0" distR="0">
                                  <wp:extent cx="937260" cy="14401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37260" cy="144018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1C377E3F" id="_x0000_t202" coordsize="21600,21600" o:spt="202" path="m,l,21600r21600,l21600,xe">
                <v:stroke joinstyle="miter"/>
                <v:path gradientshapeok="t" o:connecttype="rect"/>
              </v:shapetype>
              <v:shape id="Text Box 3" o:spid="_x0000_s1026" type="#_x0000_t202" style="position:absolute;margin-left:7.25pt;margin-top:1pt;width:89.25pt;height:101.0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">
                <v:textbox style="mso-fit-shape-to-text:t">
                  <w:txbxContent>
                    <w:p w:rsidR="005C06BB" w:rsidRDefault="004814E1" w:rsidP="005C06BB">
                      <w:r>
                        <w:rPr>
                          <w:noProof/>
                        </w:rPr>
                        <w:drawing>
                          <wp:inline distT="0" distB="0" distL="0" distR="0">
                            <wp:extent cx="937260" cy="14401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37260" cy="1440180"/>
                                    </a:xfrm>
                                    <a:prstGeom prst="rect">
                                      <a:avLst/>
                                    </a:prstGeom>
                                    <a:noFill/>
                                    <a:ln>
                                      <a:noFill/>
                                    </a:ln>
                                  </pic:spPr>
                                </pic:pic>
                              </a:graphicData>
                            </a:graphic>
                          </wp:inline>
                        </w:drawing>
                      </w:r>
                    </w:p>
                  </w:txbxContent>
                </v:textbox>
              </v:shape>
            </w:pict>
          </mc:Fallback>
        </mc:AlternateContent>
      </w:r>
    </w:p>
    <w:p w:rsidR="005C06BB" w:rsidRPr="00AB2E5E" w:rsidRDefault="005C06BB" w:rsidP="005C06BB">
      <w:pPr>
        <w:rPr>
          <w:rFonts w:ascii="Times New Roman" w:hAnsi="Times New Roman" w:cs="Times New Roman"/>
          <w:sz w:val="24"/>
          <w:szCs w:val="24"/>
        </w:rPr>
      </w:pPr>
    </w:p>
    <w:p w:rsidR="005C06BB" w:rsidRPr="00AB2E5E" w:rsidRDefault="005C06BB" w:rsidP="005C06BB">
      <w:pPr>
        <w:rPr>
          <w:rFonts w:ascii="Times New Roman" w:hAnsi="Times New Roman" w:cs="Times New Roman"/>
          <w:sz w:val="24"/>
          <w:szCs w:val="24"/>
        </w:rPr>
      </w:pPr>
    </w:p>
    <w:p w:rsidR="005C06BB" w:rsidRDefault="005C06BB" w:rsidP="00B930C3">
      <w:pPr>
        <w:autoSpaceDE w:val="0"/>
        <w:autoSpaceDN w:val="0"/>
        <w:adjustRightInd w:val="0"/>
        <w:spacing w:after="0" w:line="240" w:lineRule="auto"/>
        <w:rPr>
          <w:b/>
          <w:sz w:val="26"/>
          <w:szCs w:val="26"/>
          <w:lang w:val="en-NZ"/>
        </w:rPr>
      </w:pPr>
    </w:p>
    <w:p w:rsidR="005C06BB" w:rsidRDefault="005C06BB" w:rsidP="00B930C3">
      <w:pPr>
        <w:autoSpaceDE w:val="0"/>
        <w:autoSpaceDN w:val="0"/>
        <w:adjustRightInd w:val="0"/>
        <w:spacing w:after="0" w:line="240" w:lineRule="auto"/>
        <w:rPr>
          <w:rFonts w:asciiTheme="majorBidi" w:hAnsiTheme="majorBidi" w:cstheme="majorBidi"/>
          <w:b/>
          <w:sz w:val="24"/>
          <w:szCs w:val="24"/>
          <w:lang w:val="en-NZ"/>
        </w:rPr>
      </w:pPr>
    </w:p>
    <w:p w:rsidR="005C06BB" w:rsidRDefault="005C06BB" w:rsidP="00B930C3">
      <w:pPr>
        <w:autoSpaceDE w:val="0"/>
        <w:autoSpaceDN w:val="0"/>
        <w:adjustRightInd w:val="0"/>
        <w:spacing w:after="0" w:line="240" w:lineRule="auto"/>
        <w:rPr>
          <w:rFonts w:asciiTheme="majorBidi" w:hAnsiTheme="majorBidi" w:cstheme="majorBidi"/>
          <w:b/>
          <w:sz w:val="24"/>
          <w:szCs w:val="24"/>
          <w:lang w:val="en-NZ"/>
        </w:rPr>
      </w:pPr>
    </w:p>
    <w:p w:rsidR="005C06BB" w:rsidRDefault="005C06BB" w:rsidP="00B930C3">
      <w:pPr>
        <w:autoSpaceDE w:val="0"/>
        <w:autoSpaceDN w:val="0"/>
        <w:adjustRightInd w:val="0"/>
        <w:spacing w:after="0" w:line="240" w:lineRule="auto"/>
        <w:rPr>
          <w:rFonts w:asciiTheme="majorBidi" w:hAnsiTheme="majorBidi" w:cstheme="majorBidi"/>
          <w:b/>
          <w:sz w:val="24"/>
          <w:szCs w:val="24"/>
          <w:lang w:val="en-NZ"/>
        </w:rPr>
      </w:pPr>
    </w:p>
    <w:p w:rsidR="004814E1" w:rsidRDefault="004814E1" w:rsidP="00B930C3">
      <w:pPr>
        <w:autoSpaceDE w:val="0"/>
        <w:autoSpaceDN w:val="0"/>
        <w:adjustRightInd w:val="0"/>
        <w:spacing w:after="0" w:line="240" w:lineRule="auto"/>
        <w:rPr>
          <w:rFonts w:asciiTheme="majorBidi" w:hAnsiTheme="majorBidi" w:cstheme="majorBidi"/>
          <w:b/>
          <w:sz w:val="24"/>
          <w:szCs w:val="24"/>
          <w:lang w:val="en-NZ"/>
        </w:rPr>
      </w:pPr>
    </w:p>
    <w:p w:rsidR="00B930C3" w:rsidRPr="007D4ACA" w:rsidRDefault="00B930C3" w:rsidP="00B930C3">
      <w:pPr>
        <w:autoSpaceDE w:val="0"/>
        <w:autoSpaceDN w:val="0"/>
        <w:adjustRightInd w:val="0"/>
        <w:spacing w:after="0" w:line="240" w:lineRule="auto"/>
        <w:rPr>
          <w:rFonts w:asciiTheme="majorBidi" w:hAnsiTheme="majorBidi" w:cstheme="majorBidi"/>
          <w:b/>
          <w:sz w:val="24"/>
          <w:szCs w:val="24"/>
          <w:lang w:val="en-NZ"/>
        </w:rPr>
      </w:pPr>
      <w:r w:rsidRPr="007D4ACA">
        <w:rPr>
          <w:rFonts w:asciiTheme="majorBidi" w:hAnsiTheme="majorBidi" w:cstheme="majorBidi"/>
          <w:b/>
          <w:sz w:val="24"/>
          <w:szCs w:val="24"/>
          <w:lang w:val="en-NZ"/>
        </w:rPr>
        <w:t>Biography</w:t>
      </w:r>
    </w:p>
    <w:p w:rsidR="00B930C3" w:rsidRDefault="00B930C3" w:rsidP="00B930C3">
      <w:pPr>
        <w:jc w:val="both"/>
        <w:rPr>
          <w:rFonts w:asciiTheme="majorBidi" w:hAnsiTheme="majorBidi" w:cstheme="majorBidi"/>
          <w:bCs/>
          <w:sz w:val="24"/>
          <w:szCs w:val="24"/>
        </w:rPr>
      </w:pPr>
      <w:r w:rsidRPr="007D4ACA">
        <w:rPr>
          <w:rFonts w:asciiTheme="majorBidi" w:hAnsiTheme="majorBidi" w:cstheme="majorBidi"/>
          <w:bCs/>
          <w:sz w:val="24"/>
          <w:szCs w:val="24"/>
        </w:rPr>
        <w:t xml:space="preserve">Gehan H. </w:t>
      </w:r>
      <w:proofErr w:type="spellStart"/>
      <w:r w:rsidRPr="007D4ACA">
        <w:rPr>
          <w:rFonts w:asciiTheme="majorBidi" w:hAnsiTheme="majorBidi" w:cstheme="majorBidi"/>
          <w:bCs/>
          <w:sz w:val="24"/>
          <w:szCs w:val="24"/>
        </w:rPr>
        <w:t>AboEl-Magd</w:t>
      </w:r>
      <w:proofErr w:type="spellEnd"/>
      <w:r w:rsidRPr="007D4ACA">
        <w:rPr>
          <w:rFonts w:asciiTheme="majorBidi" w:hAnsiTheme="majorBidi" w:cstheme="majorBidi"/>
          <w:bCs/>
          <w:sz w:val="24"/>
          <w:szCs w:val="24"/>
        </w:rPr>
        <w:t xml:space="preserve"> finished her MD in 2009 from Tanta University in Egypt, has 18 published papers and now works as a professor in Chest Diseases Department, Faculty of Medicine, Tanta University, Egypt</w:t>
      </w:r>
      <w:r w:rsidR="006049D1" w:rsidRPr="007D4ACA">
        <w:rPr>
          <w:rFonts w:asciiTheme="majorBidi" w:hAnsiTheme="majorBidi" w:cstheme="majorBidi"/>
          <w:bCs/>
          <w:sz w:val="24"/>
          <w:szCs w:val="24"/>
        </w:rPr>
        <w:t>. She is a reviewer in many reputed journal</w:t>
      </w:r>
      <w:r w:rsidR="004814E1">
        <w:rPr>
          <w:rFonts w:asciiTheme="majorBidi" w:hAnsiTheme="majorBidi" w:cstheme="majorBidi"/>
          <w:bCs/>
          <w:sz w:val="24"/>
          <w:szCs w:val="24"/>
        </w:rPr>
        <w:t>s</w:t>
      </w:r>
      <w:r w:rsidR="006049D1" w:rsidRPr="007D4ACA">
        <w:rPr>
          <w:rFonts w:asciiTheme="majorBidi" w:hAnsiTheme="majorBidi" w:cstheme="majorBidi"/>
          <w:bCs/>
          <w:sz w:val="24"/>
          <w:szCs w:val="24"/>
        </w:rPr>
        <w:t>.</w:t>
      </w:r>
    </w:p>
    <w:p w:rsidR="004814E1" w:rsidRPr="007D4ACA" w:rsidRDefault="004814E1" w:rsidP="00B930C3">
      <w:pPr>
        <w:jc w:val="both"/>
        <w:rPr>
          <w:rFonts w:asciiTheme="majorBidi" w:hAnsiTheme="majorBidi" w:cstheme="majorBidi"/>
          <w:bCs/>
          <w:sz w:val="24"/>
          <w:szCs w:val="24"/>
        </w:rPr>
      </w:pPr>
      <w:bookmarkStart w:id="0" w:name="_GoBack"/>
      <w:r w:rsidRPr="004814E1">
        <w:rPr>
          <w:rFonts w:asciiTheme="majorBidi" w:hAnsiTheme="majorBidi" w:cstheme="majorBidi"/>
          <w:b/>
          <w:sz w:val="24"/>
          <w:szCs w:val="24"/>
        </w:rPr>
        <w:t>E-mail:</w:t>
      </w:r>
      <w:bookmarkEnd w:id="0"/>
      <w:r>
        <w:rPr>
          <w:rFonts w:asciiTheme="majorBidi" w:hAnsiTheme="majorBidi" w:cstheme="majorBidi"/>
          <w:bCs/>
          <w:sz w:val="24"/>
          <w:szCs w:val="24"/>
        </w:rPr>
        <w:t xml:space="preserve"> gehan19@yahoo.com</w:t>
      </w:r>
    </w:p>
    <w:sectPr w:rsidR="004814E1" w:rsidRPr="007D4A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dvGulliv-R">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404B6A"/>
    <w:multiLevelType w:val="hybridMultilevel"/>
    <w:tmpl w:val="CC2EB2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1659C5"/>
    <w:multiLevelType w:val="hybridMultilevel"/>
    <w:tmpl w:val="FB6AAECA"/>
    <w:lvl w:ilvl="0" w:tplc="4009000F">
      <w:start w:val="1"/>
      <w:numFmt w:val="decimal"/>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37D"/>
    <w:rsid w:val="000C1C2B"/>
    <w:rsid w:val="00117BF5"/>
    <w:rsid w:val="00193057"/>
    <w:rsid w:val="004814E1"/>
    <w:rsid w:val="005C06BB"/>
    <w:rsid w:val="005F7457"/>
    <w:rsid w:val="006049D1"/>
    <w:rsid w:val="007D4ACA"/>
    <w:rsid w:val="008370FB"/>
    <w:rsid w:val="009A537D"/>
    <w:rsid w:val="00AB5DE5"/>
    <w:rsid w:val="00B930C3"/>
    <w:rsid w:val="00D04A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697A3"/>
  <w15:chartTrackingRefBased/>
  <w15:docId w15:val="{5E47E0F7-A851-4A27-91AC-B34ECF91A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70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70FB"/>
    <w:rPr>
      <w:rFonts w:ascii="Segoe UI" w:hAnsi="Segoe UI" w:cs="Segoe UI"/>
      <w:sz w:val="18"/>
      <w:szCs w:val="18"/>
    </w:rPr>
  </w:style>
  <w:style w:type="paragraph" w:styleId="ListParagraph">
    <w:name w:val="List Paragraph"/>
    <w:basedOn w:val="Normal"/>
    <w:uiPriority w:val="34"/>
    <w:qFormat/>
    <w:rsid w:val="000C1C2B"/>
    <w:pPr>
      <w:spacing w:after="200" w:line="276" w:lineRule="auto"/>
      <w:ind w:left="720"/>
      <w:contextualSpacing/>
    </w:pPr>
    <w:rPr>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506</Words>
  <Characters>2888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gehan1981Staff</dc:creator>
  <cp:keywords/>
  <dc:description/>
  <cp:lastModifiedBy>gehan1981Staff</cp:lastModifiedBy>
  <cp:revision>5</cp:revision>
  <dcterms:created xsi:type="dcterms:W3CDTF">2019-12-30T19:22:00Z</dcterms:created>
  <dcterms:modified xsi:type="dcterms:W3CDTF">2019-12-30T19:34:00Z</dcterms:modified>
</cp:coreProperties>
</file>