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5EF389" w14:textId="77777777" w:rsidR="00540714" w:rsidRPr="005041F7" w:rsidRDefault="00540714" w:rsidP="00540714">
      <w:pPr>
        <w:rPr>
          <w:rFonts w:ascii="Times New Roman" w:hAnsi="Times New Roman" w:cs="Times New Roman"/>
          <w:b/>
          <w:bCs/>
          <w:color w:val="333333"/>
          <w:sz w:val="22"/>
          <w:szCs w:val="22"/>
        </w:rPr>
      </w:pPr>
      <w:proofErr w:type="gramStart"/>
      <w:r>
        <w:rPr>
          <w:rFonts w:ascii="Times New Roman" w:hAnsi="Times New Roman" w:cs="Times New Roman"/>
          <w:b/>
          <w:bCs/>
          <w:color w:val="333333"/>
          <w:sz w:val="22"/>
          <w:szCs w:val="22"/>
        </w:rPr>
        <w:t>Biomarkers predicting outcomes in</w:t>
      </w:r>
      <w:r>
        <w:rPr>
          <w:rFonts w:ascii="Times New Roman" w:hAnsi="Times New Roman" w:cs="Times New Roman"/>
          <w:b/>
          <w:bCs/>
          <w:color w:val="333333"/>
          <w:sz w:val="22"/>
          <w:szCs w:val="22"/>
        </w:rPr>
        <w:t xml:space="preserve"> A</w:t>
      </w:r>
      <w:r w:rsidRPr="005041F7">
        <w:rPr>
          <w:rFonts w:ascii="Times New Roman" w:hAnsi="Times New Roman" w:cs="Times New Roman"/>
          <w:b/>
          <w:bCs/>
          <w:color w:val="333333"/>
          <w:sz w:val="22"/>
          <w:szCs w:val="22"/>
        </w:rPr>
        <w:t>sthma exacerbation.</w:t>
      </w:r>
      <w:proofErr w:type="gramEnd"/>
    </w:p>
    <w:p w14:paraId="13B1AFCE" w14:textId="77777777" w:rsidR="0064618E" w:rsidRPr="00743950" w:rsidRDefault="0064618E" w:rsidP="0064618E">
      <w:pPr>
        <w:rPr>
          <w:rFonts w:ascii="Times New Roman" w:hAnsi="Times New Roman" w:cs="Times New Roman"/>
          <w:color w:val="333333"/>
          <w:sz w:val="22"/>
          <w:szCs w:val="22"/>
        </w:rPr>
      </w:pPr>
    </w:p>
    <w:p w14:paraId="22B22DEE" w14:textId="77777777" w:rsidR="0064618E" w:rsidRPr="00743950" w:rsidRDefault="0064618E" w:rsidP="0064618E">
      <w:pPr>
        <w:rPr>
          <w:rFonts w:ascii="Times New Roman" w:hAnsi="Times New Roman" w:cs="Times New Roman"/>
          <w:color w:val="333333"/>
          <w:sz w:val="22"/>
          <w:szCs w:val="22"/>
        </w:rPr>
      </w:pPr>
      <w:r w:rsidRPr="00743950">
        <w:rPr>
          <w:rFonts w:ascii="Times New Roman" w:hAnsi="Times New Roman" w:cs="Times New Roman"/>
          <w:color w:val="333333"/>
          <w:sz w:val="22"/>
          <w:szCs w:val="22"/>
        </w:rPr>
        <w:t xml:space="preserve">Venkat Rajasurya MD, MPH, FCCP*; </w:t>
      </w:r>
      <w:proofErr w:type="spellStart"/>
      <w:r w:rsidRPr="00743950">
        <w:rPr>
          <w:rFonts w:ascii="Times New Roman" w:hAnsi="Times New Roman" w:cs="Times New Roman"/>
          <w:color w:val="333333"/>
          <w:sz w:val="22"/>
          <w:szCs w:val="22"/>
        </w:rPr>
        <w:t>Deepthi</w:t>
      </w:r>
      <w:proofErr w:type="spellEnd"/>
      <w:r w:rsidRPr="00743950">
        <w:rPr>
          <w:rFonts w:ascii="Times New Roman" w:hAnsi="Times New Roman" w:cs="Times New Roman"/>
          <w:color w:val="333333"/>
          <w:sz w:val="22"/>
          <w:szCs w:val="22"/>
        </w:rPr>
        <w:t xml:space="preserve"> </w:t>
      </w:r>
      <w:proofErr w:type="spellStart"/>
      <w:r w:rsidRPr="00743950">
        <w:rPr>
          <w:rFonts w:ascii="Times New Roman" w:hAnsi="Times New Roman" w:cs="Times New Roman"/>
          <w:color w:val="333333"/>
          <w:sz w:val="22"/>
          <w:szCs w:val="22"/>
        </w:rPr>
        <w:t>Gudivada</w:t>
      </w:r>
      <w:proofErr w:type="spellEnd"/>
      <w:r w:rsidRPr="00743950">
        <w:rPr>
          <w:rFonts w:ascii="Times New Roman" w:hAnsi="Times New Roman" w:cs="Times New Roman"/>
          <w:color w:val="333333"/>
          <w:sz w:val="22"/>
          <w:szCs w:val="22"/>
        </w:rPr>
        <w:t xml:space="preserve"> MD</w:t>
      </w:r>
    </w:p>
    <w:p w14:paraId="2898D0DD" w14:textId="77777777" w:rsidR="0064618E" w:rsidRPr="00743950" w:rsidRDefault="0064618E" w:rsidP="0064618E">
      <w:pPr>
        <w:rPr>
          <w:rFonts w:ascii="Times New Roman" w:hAnsi="Times New Roman" w:cs="Times New Roman"/>
          <w:color w:val="333333"/>
          <w:sz w:val="22"/>
          <w:szCs w:val="22"/>
        </w:rPr>
      </w:pPr>
      <w:r w:rsidRPr="00743950">
        <w:rPr>
          <w:rFonts w:ascii="Times New Roman" w:hAnsi="Times New Roman" w:cs="Times New Roman"/>
          <w:color w:val="333333"/>
          <w:sz w:val="22"/>
          <w:szCs w:val="22"/>
        </w:rPr>
        <w:t>SIU School of Medicine, Decatur memorial Hospital, Decatur, IL.</w:t>
      </w:r>
    </w:p>
    <w:p w14:paraId="09917A1E" w14:textId="77777777" w:rsidR="0064618E" w:rsidRPr="00743950" w:rsidRDefault="0064618E" w:rsidP="0064618E">
      <w:pPr>
        <w:rPr>
          <w:rFonts w:ascii="Times New Roman" w:hAnsi="Times New Roman" w:cs="Times New Roman"/>
          <w:color w:val="333333"/>
          <w:sz w:val="22"/>
          <w:szCs w:val="22"/>
        </w:rPr>
      </w:pPr>
    </w:p>
    <w:p w14:paraId="2D067D7B" w14:textId="77777777" w:rsidR="0064618E" w:rsidRPr="00743950" w:rsidRDefault="0064618E" w:rsidP="0064618E">
      <w:pPr>
        <w:rPr>
          <w:rFonts w:ascii="Times New Roman" w:hAnsi="Times New Roman" w:cs="Times New Roman"/>
          <w:color w:val="333333"/>
          <w:sz w:val="22"/>
          <w:szCs w:val="22"/>
        </w:rPr>
      </w:pPr>
      <w:r w:rsidRPr="00743950">
        <w:rPr>
          <w:rFonts w:ascii="Times New Roman" w:hAnsi="Times New Roman" w:cs="Times New Roman"/>
          <w:color w:val="333333"/>
          <w:sz w:val="22"/>
          <w:szCs w:val="22"/>
        </w:rPr>
        <w:t>PURPOSE: </w:t>
      </w:r>
      <w:r w:rsidRPr="00743950">
        <w:rPr>
          <w:rFonts w:ascii="Times New Roman" w:eastAsia="Times New Roman" w:hAnsi="Times New Roman" w:cs="Times New Roman"/>
          <w:color w:val="000000"/>
          <w:sz w:val="22"/>
          <w:szCs w:val="22"/>
          <w:shd w:val="clear" w:color="auto" w:fill="FFFFFF"/>
        </w:rPr>
        <w:t>There is a growing research interest aimed at predicting the prognosis of patients with simple blood tests associated with systemic inflammation</w:t>
      </w:r>
      <w:r w:rsidRPr="00743950">
        <w:rPr>
          <w:rFonts w:ascii="Times New Roman" w:eastAsia="Times New Roman" w:hAnsi="Times New Roman" w:cs="Times New Roman"/>
          <w:sz w:val="22"/>
          <w:szCs w:val="22"/>
        </w:rPr>
        <w:t xml:space="preserve">. </w:t>
      </w:r>
      <w:r w:rsidRPr="00743950">
        <w:rPr>
          <w:rFonts w:ascii="Times New Roman" w:hAnsi="Times New Roman" w:cs="Times New Roman"/>
          <w:color w:val="333333"/>
          <w:sz w:val="22"/>
          <w:szCs w:val="22"/>
        </w:rPr>
        <w:t xml:space="preserve">Neutrophil to lymphocyte ratio (NLR) and platelet to lymphocyte ratio (PLR) are recently defined novel inflammatory markers, which are readily available, and they have been studied in a number of inflammatory conditions. We aimed to investigate the role of NLR and PLR in predicting outcomes in patients admitted with asthma exacerbation. </w:t>
      </w:r>
    </w:p>
    <w:p w14:paraId="6D08B471" w14:textId="77777777" w:rsidR="0064618E" w:rsidRPr="00743950" w:rsidRDefault="0064618E" w:rsidP="0064618E">
      <w:pPr>
        <w:rPr>
          <w:rFonts w:ascii="Times New Roman" w:eastAsia="Times New Roman" w:hAnsi="Times New Roman" w:cs="Times New Roman"/>
          <w:sz w:val="22"/>
          <w:szCs w:val="22"/>
        </w:rPr>
      </w:pPr>
    </w:p>
    <w:p w14:paraId="01FF4E50" w14:textId="77777777" w:rsidR="0064618E" w:rsidRPr="00743950" w:rsidRDefault="0064618E" w:rsidP="0064618E">
      <w:pPr>
        <w:shd w:val="clear" w:color="auto" w:fill="FFFFFF"/>
        <w:spacing w:after="288"/>
        <w:jc w:val="both"/>
        <w:rPr>
          <w:rFonts w:ascii="Times New Roman" w:hAnsi="Times New Roman" w:cs="Times New Roman"/>
          <w:color w:val="333333"/>
          <w:sz w:val="22"/>
          <w:szCs w:val="22"/>
        </w:rPr>
      </w:pPr>
      <w:r w:rsidRPr="00743950">
        <w:rPr>
          <w:rFonts w:ascii="Times New Roman" w:hAnsi="Times New Roman" w:cs="Times New Roman"/>
          <w:color w:val="333333"/>
          <w:sz w:val="22"/>
          <w:szCs w:val="22"/>
        </w:rPr>
        <w:t xml:space="preserve">METHODS: Retrospectively we reviewed the clinical and demographical characteristics of 162 patients who were admitted for asthma exacerbation in a community hospital from Jan 2016 to December 2018. These patients were divided into 3 equal </w:t>
      </w:r>
      <w:proofErr w:type="spellStart"/>
      <w:r w:rsidRPr="00743950">
        <w:rPr>
          <w:rFonts w:ascii="Times New Roman" w:hAnsi="Times New Roman" w:cs="Times New Roman"/>
          <w:color w:val="333333"/>
          <w:sz w:val="22"/>
          <w:szCs w:val="22"/>
        </w:rPr>
        <w:t>tertiles</w:t>
      </w:r>
      <w:proofErr w:type="spellEnd"/>
      <w:r w:rsidRPr="00743950">
        <w:rPr>
          <w:rFonts w:ascii="Times New Roman" w:hAnsi="Times New Roman" w:cs="Times New Roman"/>
          <w:color w:val="333333"/>
          <w:sz w:val="22"/>
          <w:szCs w:val="22"/>
        </w:rPr>
        <w:t xml:space="preserve"> based on their admission NLR and PLR ratio. We also reviewed the charts of 70 stable asthma patients who were seen in the office for routine follow up visits. </w:t>
      </w:r>
    </w:p>
    <w:p w14:paraId="3A6BFEE5" w14:textId="77777777" w:rsidR="0064618E" w:rsidRDefault="0064618E" w:rsidP="00743950">
      <w:pPr>
        <w:shd w:val="clear" w:color="auto" w:fill="FFFFFF"/>
        <w:jc w:val="both"/>
        <w:rPr>
          <w:rFonts w:ascii="Times New Roman" w:eastAsia="Times New Roman" w:hAnsi="Times New Roman" w:cs="Times New Roman"/>
          <w:color w:val="000000"/>
          <w:sz w:val="22"/>
          <w:szCs w:val="22"/>
          <w:shd w:val="clear" w:color="auto" w:fill="FFFFFF"/>
        </w:rPr>
      </w:pPr>
      <w:r w:rsidRPr="00743950">
        <w:rPr>
          <w:rFonts w:ascii="Times New Roman" w:hAnsi="Times New Roman" w:cs="Times New Roman"/>
          <w:color w:val="333333"/>
          <w:sz w:val="22"/>
          <w:szCs w:val="22"/>
        </w:rPr>
        <w:t>RESULTS: </w:t>
      </w:r>
      <w:r w:rsidRPr="00743950">
        <w:rPr>
          <w:rFonts w:ascii="Times New Roman" w:eastAsia="Times New Roman" w:hAnsi="Times New Roman" w:cs="Times New Roman"/>
          <w:color w:val="000000"/>
          <w:sz w:val="22"/>
          <w:szCs w:val="22"/>
          <w:shd w:val="clear" w:color="auto" w:fill="FFFFFF"/>
        </w:rPr>
        <w:t xml:space="preserve">The first, second and third NLR </w:t>
      </w:r>
      <w:proofErr w:type="spellStart"/>
      <w:r w:rsidRPr="00743950">
        <w:rPr>
          <w:rFonts w:ascii="Times New Roman" w:eastAsia="Times New Roman" w:hAnsi="Times New Roman" w:cs="Times New Roman"/>
          <w:color w:val="000000"/>
          <w:sz w:val="22"/>
          <w:szCs w:val="22"/>
          <w:shd w:val="clear" w:color="auto" w:fill="FFFFFF"/>
        </w:rPr>
        <w:t>tertiles</w:t>
      </w:r>
      <w:proofErr w:type="spellEnd"/>
      <w:r w:rsidRPr="00743950">
        <w:rPr>
          <w:rFonts w:ascii="Times New Roman" w:eastAsia="Times New Roman" w:hAnsi="Times New Roman" w:cs="Times New Roman"/>
          <w:color w:val="000000"/>
          <w:sz w:val="22"/>
          <w:szCs w:val="22"/>
          <w:shd w:val="clear" w:color="auto" w:fill="FFFFFF"/>
        </w:rPr>
        <w:t xml:space="preserve"> were NLR&lt;2.5, 2.6 ≤ NLR ≤ 6, and NLR &gt; 6, respectively. The first, second and third PLR </w:t>
      </w:r>
      <w:proofErr w:type="spellStart"/>
      <w:r w:rsidRPr="00743950">
        <w:rPr>
          <w:rFonts w:ascii="Times New Roman" w:eastAsia="Times New Roman" w:hAnsi="Times New Roman" w:cs="Times New Roman"/>
          <w:color w:val="000000"/>
          <w:sz w:val="22"/>
          <w:szCs w:val="22"/>
          <w:shd w:val="clear" w:color="auto" w:fill="FFFFFF"/>
        </w:rPr>
        <w:t>tertiles</w:t>
      </w:r>
      <w:proofErr w:type="spellEnd"/>
      <w:r w:rsidRPr="00743950">
        <w:rPr>
          <w:rFonts w:ascii="Times New Roman" w:eastAsia="Times New Roman" w:hAnsi="Times New Roman" w:cs="Times New Roman"/>
          <w:color w:val="000000"/>
          <w:sz w:val="22"/>
          <w:szCs w:val="22"/>
          <w:shd w:val="clear" w:color="auto" w:fill="FFFFFF"/>
        </w:rPr>
        <w:t xml:space="preserve"> were PLR &lt; 120, 121 ≤ PLR ≤ 188, and PLR &gt; 188, respectively. Among the NLR group, compared to the patients in the first </w:t>
      </w:r>
      <w:proofErr w:type="spellStart"/>
      <w:r w:rsidRPr="00743950">
        <w:rPr>
          <w:rFonts w:ascii="Times New Roman" w:eastAsia="Times New Roman" w:hAnsi="Times New Roman" w:cs="Times New Roman"/>
          <w:color w:val="000000"/>
          <w:sz w:val="22"/>
          <w:szCs w:val="22"/>
          <w:shd w:val="clear" w:color="auto" w:fill="FFFFFF"/>
        </w:rPr>
        <w:t>tertile</w:t>
      </w:r>
      <w:proofErr w:type="spellEnd"/>
      <w:r w:rsidRPr="00743950">
        <w:rPr>
          <w:rFonts w:ascii="Times New Roman" w:eastAsia="Times New Roman" w:hAnsi="Times New Roman" w:cs="Times New Roman"/>
          <w:color w:val="000000"/>
          <w:sz w:val="22"/>
          <w:szCs w:val="22"/>
          <w:shd w:val="clear" w:color="auto" w:fill="FFFFFF"/>
        </w:rPr>
        <w:t>, patients in 3</w:t>
      </w:r>
      <w:r w:rsidRPr="00743950">
        <w:rPr>
          <w:rFonts w:ascii="Times New Roman" w:eastAsia="Times New Roman" w:hAnsi="Times New Roman" w:cs="Times New Roman"/>
          <w:color w:val="000000"/>
          <w:sz w:val="22"/>
          <w:szCs w:val="22"/>
          <w:shd w:val="clear" w:color="auto" w:fill="FFFFFF"/>
          <w:vertAlign w:val="superscript"/>
        </w:rPr>
        <w:t>rd</w:t>
      </w:r>
      <w:r w:rsidRPr="00743950">
        <w:rPr>
          <w:rFonts w:ascii="Times New Roman" w:eastAsia="Times New Roman" w:hAnsi="Times New Roman" w:cs="Times New Roman"/>
          <w:color w:val="000000"/>
          <w:sz w:val="22"/>
          <w:szCs w:val="22"/>
          <w:shd w:val="clear" w:color="auto" w:fill="FFFFFF"/>
        </w:rPr>
        <w:t xml:space="preserve"> </w:t>
      </w:r>
      <w:proofErr w:type="spellStart"/>
      <w:r w:rsidRPr="00743950">
        <w:rPr>
          <w:rFonts w:ascii="Times New Roman" w:eastAsia="Times New Roman" w:hAnsi="Times New Roman" w:cs="Times New Roman"/>
          <w:color w:val="000000"/>
          <w:sz w:val="22"/>
          <w:szCs w:val="22"/>
          <w:shd w:val="clear" w:color="auto" w:fill="FFFFFF"/>
        </w:rPr>
        <w:t>tertile</w:t>
      </w:r>
      <w:proofErr w:type="spellEnd"/>
      <w:r w:rsidRPr="00743950">
        <w:rPr>
          <w:rFonts w:ascii="Times New Roman" w:eastAsia="Times New Roman" w:hAnsi="Times New Roman" w:cs="Times New Roman"/>
          <w:color w:val="000000"/>
          <w:sz w:val="22"/>
          <w:szCs w:val="22"/>
          <w:shd w:val="clear" w:color="auto" w:fill="FFFFFF"/>
        </w:rPr>
        <w:t xml:space="preserve"> had higher average length of stay (7 days </w:t>
      </w:r>
      <w:proofErr w:type="spellStart"/>
      <w:r w:rsidRPr="00743950">
        <w:rPr>
          <w:rFonts w:ascii="Times New Roman" w:eastAsia="Times New Roman" w:hAnsi="Times New Roman" w:cs="Times New Roman"/>
          <w:color w:val="000000"/>
          <w:sz w:val="22"/>
          <w:szCs w:val="22"/>
          <w:shd w:val="clear" w:color="auto" w:fill="FFFFFF"/>
        </w:rPr>
        <w:t>vs</w:t>
      </w:r>
      <w:proofErr w:type="spellEnd"/>
      <w:r w:rsidRPr="00743950">
        <w:rPr>
          <w:rFonts w:ascii="Times New Roman" w:eastAsia="Times New Roman" w:hAnsi="Times New Roman" w:cs="Times New Roman"/>
          <w:color w:val="000000"/>
          <w:sz w:val="22"/>
          <w:szCs w:val="22"/>
          <w:shd w:val="clear" w:color="auto" w:fill="FFFFFF"/>
        </w:rPr>
        <w:t xml:space="preserve"> 3 days, p&lt;0.006), need for mechanical ventilation (16.5% </w:t>
      </w:r>
      <w:proofErr w:type="spellStart"/>
      <w:r w:rsidRPr="00743950">
        <w:rPr>
          <w:rFonts w:ascii="Times New Roman" w:eastAsia="Times New Roman" w:hAnsi="Times New Roman" w:cs="Times New Roman"/>
          <w:color w:val="000000"/>
          <w:sz w:val="22"/>
          <w:szCs w:val="22"/>
          <w:shd w:val="clear" w:color="auto" w:fill="FFFFFF"/>
        </w:rPr>
        <w:t>vs</w:t>
      </w:r>
      <w:proofErr w:type="spellEnd"/>
      <w:r w:rsidRPr="00743950">
        <w:rPr>
          <w:rFonts w:ascii="Times New Roman" w:eastAsia="Times New Roman" w:hAnsi="Times New Roman" w:cs="Times New Roman"/>
          <w:color w:val="000000"/>
          <w:sz w:val="22"/>
          <w:szCs w:val="22"/>
          <w:shd w:val="clear" w:color="auto" w:fill="FFFFFF"/>
        </w:rPr>
        <w:t xml:space="preserve"> 2.5%, p&lt;0.001) and </w:t>
      </w:r>
      <w:proofErr w:type="gramStart"/>
      <w:r w:rsidRPr="00743950">
        <w:rPr>
          <w:rFonts w:ascii="Times New Roman" w:eastAsia="Times New Roman" w:hAnsi="Times New Roman" w:cs="Times New Roman"/>
          <w:color w:val="000000"/>
          <w:sz w:val="22"/>
          <w:szCs w:val="22"/>
          <w:shd w:val="clear" w:color="auto" w:fill="FFFFFF"/>
        </w:rPr>
        <w:t>30 day</w:t>
      </w:r>
      <w:proofErr w:type="gramEnd"/>
      <w:r w:rsidRPr="00743950">
        <w:rPr>
          <w:rFonts w:ascii="Times New Roman" w:eastAsia="Times New Roman" w:hAnsi="Times New Roman" w:cs="Times New Roman"/>
          <w:color w:val="000000"/>
          <w:sz w:val="22"/>
          <w:szCs w:val="22"/>
          <w:shd w:val="clear" w:color="auto" w:fill="FFFFFF"/>
        </w:rPr>
        <w:t xml:space="preserve"> readmission rate (17% </w:t>
      </w:r>
      <w:proofErr w:type="spellStart"/>
      <w:r w:rsidRPr="00743950">
        <w:rPr>
          <w:rFonts w:ascii="Times New Roman" w:eastAsia="Times New Roman" w:hAnsi="Times New Roman" w:cs="Times New Roman"/>
          <w:color w:val="000000"/>
          <w:sz w:val="22"/>
          <w:szCs w:val="22"/>
          <w:shd w:val="clear" w:color="auto" w:fill="FFFFFF"/>
        </w:rPr>
        <w:t>vs</w:t>
      </w:r>
      <w:proofErr w:type="spellEnd"/>
      <w:r w:rsidRPr="00743950">
        <w:rPr>
          <w:rFonts w:ascii="Times New Roman" w:eastAsia="Times New Roman" w:hAnsi="Times New Roman" w:cs="Times New Roman"/>
          <w:color w:val="000000"/>
          <w:sz w:val="22"/>
          <w:szCs w:val="22"/>
          <w:shd w:val="clear" w:color="auto" w:fill="FFFFFF"/>
        </w:rPr>
        <w:t xml:space="preserve"> 4%, p&lt;0.03). Among the PLR group, compared to the patients in the first </w:t>
      </w:r>
      <w:proofErr w:type="spellStart"/>
      <w:r w:rsidRPr="00743950">
        <w:rPr>
          <w:rFonts w:ascii="Times New Roman" w:eastAsia="Times New Roman" w:hAnsi="Times New Roman" w:cs="Times New Roman"/>
          <w:color w:val="000000"/>
          <w:sz w:val="22"/>
          <w:szCs w:val="22"/>
          <w:shd w:val="clear" w:color="auto" w:fill="FFFFFF"/>
        </w:rPr>
        <w:t>tertile</w:t>
      </w:r>
      <w:proofErr w:type="spellEnd"/>
      <w:r w:rsidRPr="00743950">
        <w:rPr>
          <w:rFonts w:ascii="Times New Roman" w:eastAsia="Times New Roman" w:hAnsi="Times New Roman" w:cs="Times New Roman"/>
          <w:color w:val="000000"/>
          <w:sz w:val="22"/>
          <w:szCs w:val="22"/>
          <w:shd w:val="clear" w:color="auto" w:fill="FFFFFF"/>
        </w:rPr>
        <w:t>, patients in 3</w:t>
      </w:r>
      <w:r w:rsidRPr="00743950">
        <w:rPr>
          <w:rFonts w:ascii="Times New Roman" w:eastAsia="Times New Roman" w:hAnsi="Times New Roman" w:cs="Times New Roman"/>
          <w:color w:val="000000"/>
          <w:sz w:val="22"/>
          <w:szCs w:val="22"/>
          <w:shd w:val="clear" w:color="auto" w:fill="FFFFFF"/>
          <w:vertAlign w:val="superscript"/>
        </w:rPr>
        <w:t>rd</w:t>
      </w:r>
      <w:r w:rsidRPr="00743950">
        <w:rPr>
          <w:rFonts w:ascii="Times New Roman" w:eastAsia="Times New Roman" w:hAnsi="Times New Roman" w:cs="Times New Roman"/>
          <w:color w:val="000000"/>
          <w:sz w:val="22"/>
          <w:szCs w:val="22"/>
          <w:shd w:val="clear" w:color="auto" w:fill="FFFFFF"/>
        </w:rPr>
        <w:t xml:space="preserve"> </w:t>
      </w:r>
      <w:proofErr w:type="spellStart"/>
      <w:r w:rsidRPr="00743950">
        <w:rPr>
          <w:rFonts w:ascii="Times New Roman" w:eastAsia="Times New Roman" w:hAnsi="Times New Roman" w:cs="Times New Roman"/>
          <w:color w:val="000000"/>
          <w:sz w:val="22"/>
          <w:szCs w:val="22"/>
          <w:shd w:val="clear" w:color="auto" w:fill="FFFFFF"/>
        </w:rPr>
        <w:t>tertile</w:t>
      </w:r>
      <w:proofErr w:type="spellEnd"/>
      <w:r w:rsidRPr="00743950">
        <w:rPr>
          <w:rFonts w:ascii="Times New Roman" w:eastAsia="Times New Roman" w:hAnsi="Times New Roman" w:cs="Times New Roman"/>
          <w:color w:val="000000"/>
          <w:sz w:val="22"/>
          <w:szCs w:val="22"/>
          <w:shd w:val="clear" w:color="auto" w:fill="FFFFFF"/>
        </w:rPr>
        <w:t xml:space="preserve"> had higher average length of stay (6.5 days </w:t>
      </w:r>
      <w:proofErr w:type="spellStart"/>
      <w:r w:rsidRPr="00743950">
        <w:rPr>
          <w:rFonts w:ascii="Times New Roman" w:eastAsia="Times New Roman" w:hAnsi="Times New Roman" w:cs="Times New Roman"/>
          <w:color w:val="000000"/>
          <w:sz w:val="22"/>
          <w:szCs w:val="22"/>
          <w:shd w:val="clear" w:color="auto" w:fill="FFFFFF"/>
        </w:rPr>
        <w:t>vs</w:t>
      </w:r>
      <w:proofErr w:type="spellEnd"/>
      <w:r w:rsidRPr="00743950">
        <w:rPr>
          <w:rFonts w:ascii="Times New Roman" w:eastAsia="Times New Roman" w:hAnsi="Times New Roman" w:cs="Times New Roman"/>
          <w:color w:val="000000"/>
          <w:sz w:val="22"/>
          <w:szCs w:val="22"/>
          <w:shd w:val="clear" w:color="auto" w:fill="FFFFFF"/>
        </w:rPr>
        <w:t xml:space="preserve"> 3 days, p&lt;0.006), need for mechanical ventilation (14.5% </w:t>
      </w:r>
      <w:proofErr w:type="spellStart"/>
      <w:r w:rsidRPr="00743950">
        <w:rPr>
          <w:rFonts w:ascii="Times New Roman" w:eastAsia="Times New Roman" w:hAnsi="Times New Roman" w:cs="Times New Roman"/>
          <w:color w:val="000000"/>
          <w:sz w:val="22"/>
          <w:szCs w:val="22"/>
          <w:shd w:val="clear" w:color="auto" w:fill="FFFFFF"/>
        </w:rPr>
        <w:t>vs</w:t>
      </w:r>
      <w:proofErr w:type="spellEnd"/>
      <w:r w:rsidRPr="00743950">
        <w:rPr>
          <w:rFonts w:ascii="Times New Roman" w:eastAsia="Times New Roman" w:hAnsi="Times New Roman" w:cs="Times New Roman"/>
          <w:color w:val="000000"/>
          <w:sz w:val="22"/>
          <w:szCs w:val="22"/>
          <w:shd w:val="clear" w:color="auto" w:fill="FFFFFF"/>
        </w:rPr>
        <w:t xml:space="preserve"> 2%, p&lt;0.001), 30-day readmission rate (18% </w:t>
      </w:r>
      <w:proofErr w:type="spellStart"/>
      <w:r w:rsidRPr="00743950">
        <w:rPr>
          <w:rFonts w:ascii="Times New Roman" w:eastAsia="Times New Roman" w:hAnsi="Times New Roman" w:cs="Times New Roman"/>
          <w:color w:val="000000"/>
          <w:sz w:val="22"/>
          <w:szCs w:val="22"/>
          <w:shd w:val="clear" w:color="auto" w:fill="FFFFFF"/>
        </w:rPr>
        <w:t>vs</w:t>
      </w:r>
      <w:proofErr w:type="spellEnd"/>
      <w:r w:rsidRPr="00743950">
        <w:rPr>
          <w:rFonts w:ascii="Times New Roman" w:eastAsia="Times New Roman" w:hAnsi="Times New Roman" w:cs="Times New Roman"/>
          <w:color w:val="000000"/>
          <w:sz w:val="22"/>
          <w:szCs w:val="22"/>
          <w:shd w:val="clear" w:color="auto" w:fill="FFFFFF"/>
        </w:rPr>
        <w:t xml:space="preserve"> 3%, p&lt;0.03). The results were similar in both the NLR and PLR </w:t>
      </w:r>
      <w:proofErr w:type="spellStart"/>
      <w:r w:rsidRPr="00743950">
        <w:rPr>
          <w:rFonts w:ascii="Times New Roman" w:eastAsia="Times New Roman" w:hAnsi="Times New Roman" w:cs="Times New Roman"/>
          <w:color w:val="000000"/>
          <w:sz w:val="22"/>
          <w:szCs w:val="22"/>
          <w:shd w:val="clear" w:color="auto" w:fill="FFFFFF"/>
        </w:rPr>
        <w:t>tertile</w:t>
      </w:r>
      <w:proofErr w:type="spellEnd"/>
      <w:r w:rsidRPr="00743950">
        <w:rPr>
          <w:rFonts w:ascii="Times New Roman" w:eastAsia="Times New Roman" w:hAnsi="Times New Roman" w:cs="Times New Roman"/>
          <w:color w:val="000000"/>
          <w:sz w:val="22"/>
          <w:szCs w:val="22"/>
          <w:shd w:val="clear" w:color="auto" w:fill="FFFFFF"/>
        </w:rPr>
        <w:t xml:space="preserve"> groups. Among the stable asthmatic patients, the mean PLR and NLR ratio were 132 and 2.2 respectively</w:t>
      </w:r>
    </w:p>
    <w:p w14:paraId="5C1E7AFF" w14:textId="77777777" w:rsidR="00743950" w:rsidRPr="00743950" w:rsidRDefault="00743950" w:rsidP="00743950">
      <w:pPr>
        <w:shd w:val="clear" w:color="auto" w:fill="FFFFFF"/>
        <w:jc w:val="both"/>
        <w:rPr>
          <w:rFonts w:ascii="Times New Roman" w:hAnsi="Times New Roman" w:cs="Times New Roman"/>
          <w:color w:val="333333"/>
          <w:sz w:val="22"/>
          <w:szCs w:val="22"/>
        </w:rPr>
      </w:pPr>
    </w:p>
    <w:p w14:paraId="18617762" w14:textId="77777777" w:rsidR="0064618E" w:rsidRPr="00743950" w:rsidRDefault="00743950" w:rsidP="0064618E">
      <w:pPr>
        <w:rPr>
          <w:rFonts w:ascii="Times New Roman" w:eastAsia="Times New Roman" w:hAnsi="Times New Roman" w:cs="Times New Roman"/>
          <w:sz w:val="22"/>
          <w:szCs w:val="22"/>
        </w:rPr>
      </w:pPr>
      <w:r>
        <w:rPr>
          <w:rFonts w:ascii="Times New Roman" w:hAnsi="Times New Roman" w:cs="Times New Roman"/>
          <w:color w:val="333333"/>
          <w:sz w:val="22"/>
          <w:szCs w:val="22"/>
        </w:rPr>
        <w:t>CONCLUSION</w:t>
      </w:r>
      <w:r w:rsidR="0064618E" w:rsidRPr="00743950">
        <w:rPr>
          <w:rFonts w:ascii="Times New Roman" w:hAnsi="Times New Roman" w:cs="Times New Roman"/>
          <w:color w:val="333333"/>
          <w:sz w:val="22"/>
          <w:szCs w:val="22"/>
        </w:rPr>
        <w:t xml:space="preserve">: The results of this study showed that NLR and PLR obtained at the time of admission are very useful in predicting the clinical outcomes in patients admitted with asthma exacerbation. Patients with NLR ratio above 6 and PLR ratio above 188 at the time of hospital admission had higher average length of stay, need for mechanical ventilation and higher 30-day readmission rate. </w:t>
      </w:r>
      <w:r w:rsidR="0064618E" w:rsidRPr="00743950">
        <w:rPr>
          <w:rFonts w:ascii="Times New Roman" w:eastAsia="Times New Roman" w:hAnsi="Times New Roman" w:cs="Times New Roman"/>
          <w:color w:val="000000"/>
          <w:sz w:val="22"/>
          <w:szCs w:val="22"/>
          <w:shd w:val="clear" w:color="auto" w:fill="FFFFFF"/>
        </w:rPr>
        <w:t>NLR and PLR are increased in stable asthmatic patients compared to normal subjects.</w:t>
      </w:r>
      <w:r w:rsidR="0064618E" w:rsidRPr="00743950">
        <w:rPr>
          <w:rFonts w:ascii="Times New Roman" w:eastAsia="Times New Roman" w:hAnsi="Times New Roman" w:cs="Times New Roman"/>
          <w:sz w:val="22"/>
          <w:szCs w:val="22"/>
        </w:rPr>
        <w:t xml:space="preserve"> </w:t>
      </w:r>
      <w:r w:rsidR="0064618E" w:rsidRPr="00743950">
        <w:rPr>
          <w:rFonts w:ascii="Times New Roman" w:hAnsi="Times New Roman" w:cs="Times New Roman"/>
          <w:color w:val="333333"/>
          <w:sz w:val="22"/>
          <w:szCs w:val="22"/>
        </w:rPr>
        <w:t>Further studies are required to better elucidate the roles of these novel inflammatory markers in asthma.</w:t>
      </w:r>
    </w:p>
    <w:p w14:paraId="6E2DAFE8" w14:textId="77777777" w:rsidR="00A62E13" w:rsidRDefault="00A62E13"/>
    <w:p w14:paraId="69C25828" w14:textId="77777777" w:rsidR="00743950" w:rsidRDefault="00743950"/>
    <w:p w14:paraId="5FBCE08E" w14:textId="77777777" w:rsidR="00743950" w:rsidRDefault="00743950"/>
    <w:p w14:paraId="6BFF823F" w14:textId="77777777" w:rsidR="00743950" w:rsidRPr="00743950" w:rsidRDefault="00743950">
      <w:pPr>
        <w:rPr>
          <w:rFonts w:ascii="Times New Roman" w:hAnsi="Times New Roman" w:cs="Times New Roman"/>
          <w:sz w:val="22"/>
          <w:szCs w:val="22"/>
        </w:rPr>
      </w:pPr>
    </w:p>
    <w:p w14:paraId="4434A2D9" w14:textId="77777777" w:rsidR="00743950" w:rsidRDefault="00743950">
      <w:pPr>
        <w:rPr>
          <w:rFonts w:ascii="Times New Roman" w:hAnsi="Times New Roman" w:cs="Times New Roman"/>
          <w:sz w:val="22"/>
          <w:szCs w:val="22"/>
        </w:rPr>
      </w:pPr>
      <w:r w:rsidRPr="00743950">
        <w:rPr>
          <w:rFonts w:ascii="Times New Roman" w:hAnsi="Times New Roman" w:cs="Times New Roman"/>
          <w:sz w:val="22"/>
          <w:szCs w:val="22"/>
        </w:rPr>
        <w:t>Corresponding author: Venkat Rajasurya MD, MPH, FCCP</w:t>
      </w:r>
    </w:p>
    <w:p w14:paraId="32583154" w14:textId="77777777" w:rsidR="0036509D" w:rsidRDefault="0036509D" w:rsidP="0036509D">
      <w:pPr>
        <w:rPr>
          <w:rFonts w:eastAsia="Times New Roman" w:cs="Times New Roman"/>
        </w:rPr>
      </w:pPr>
      <w:hyperlink r:id="rId5" w:history="1">
        <w:r>
          <w:rPr>
            <w:rStyle w:val="Hyperlink"/>
            <w:rFonts w:eastAsia="Times New Roman" w:cs="Times New Roman"/>
          </w:rPr>
          <w:t>https://scholar.google.com/citations?user=qERIWkYAAAAJ&amp;hl=en</w:t>
        </w:r>
      </w:hyperlink>
    </w:p>
    <w:p w14:paraId="7C693CD4" w14:textId="77777777" w:rsidR="00743950" w:rsidRPr="00743950" w:rsidRDefault="00743950">
      <w:pPr>
        <w:rPr>
          <w:rFonts w:ascii="Times New Roman" w:hAnsi="Times New Roman" w:cs="Times New Roman"/>
          <w:sz w:val="22"/>
          <w:szCs w:val="22"/>
        </w:rPr>
      </w:pPr>
      <w:bookmarkStart w:id="0" w:name="_GoBack"/>
      <w:bookmarkEnd w:id="0"/>
      <w:proofErr w:type="gramStart"/>
      <w:r w:rsidRPr="00743950">
        <w:rPr>
          <w:rFonts w:ascii="Times New Roman" w:hAnsi="Times New Roman" w:cs="Times New Roman"/>
          <w:sz w:val="22"/>
          <w:szCs w:val="22"/>
        </w:rPr>
        <w:t>Clinical Assistant professor, SIU Family Medicine, Illinois, USA.</w:t>
      </w:r>
      <w:proofErr w:type="gramEnd"/>
    </w:p>
    <w:p w14:paraId="6C4F7EA2" w14:textId="77777777" w:rsidR="00743950" w:rsidRPr="00743950" w:rsidRDefault="00743950">
      <w:pPr>
        <w:rPr>
          <w:rFonts w:ascii="Times New Roman" w:hAnsi="Times New Roman" w:cs="Times New Roman"/>
          <w:sz w:val="22"/>
          <w:szCs w:val="22"/>
        </w:rPr>
      </w:pPr>
      <w:r w:rsidRPr="00743950">
        <w:rPr>
          <w:rFonts w:ascii="Times New Roman" w:hAnsi="Times New Roman" w:cs="Times New Roman"/>
          <w:sz w:val="22"/>
          <w:szCs w:val="22"/>
        </w:rPr>
        <w:t xml:space="preserve">Address: 7003 Preston Drive, Springfield, IL-62711, </w:t>
      </w:r>
      <w:proofErr w:type="gramStart"/>
      <w:r w:rsidRPr="00743950">
        <w:rPr>
          <w:rFonts w:ascii="Times New Roman" w:hAnsi="Times New Roman" w:cs="Times New Roman"/>
          <w:sz w:val="22"/>
          <w:szCs w:val="22"/>
        </w:rPr>
        <w:t>USA</w:t>
      </w:r>
      <w:proofErr w:type="gramEnd"/>
    </w:p>
    <w:p w14:paraId="40BA032A" w14:textId="77777777" w:rsidR="00743950" w:rsidRPr="00743950" w:rsidRDefault="00743950">
      <w:pPr>
        <w:rPr>
          <w:rFonts w:ascii="Times New Roman" w:hAnsi="Times New Roman" w:cs="Times New Roman"/>
          <w:sz w:val="22"/>
          <w:szCs w:val="22"/>
        </w:rPr>
      </w:pPr>
      <w:r w:rsidRPr="00743950">
        <w:rPr>
          <w:rFonts w:ascii="Times New Roman" w:hAnsi="Times New Roman" w:cs="Times New Roman"/>
          <w:sz w:val="22"/>
          <w:szCs w:val="22"/>
        </w:rPr>
        <w:t>Phone: 217-329-4264</w:t>
      </w:r>
    </w:p>
    <w:p w14:paraId="3B1834E8" w14:textId="77777777" w:rsidR="00743950" w:rsidRPr="00743950" w:rsidRDefault="00743950">
      <w:pPr>
        <w:rPr>
          <w:rFonts w:ascii="Times New Roman" w:hAnsi="Times New Roman" w:cs="Times New Roman"/>
          <w:sz w:val="22"/>
          <w:szCs w:val="22"/>
        </w:rPr>
      </w:pPr>
      <w:r w:rsidRPr="00743950">
        <w:rPr>
          <w:rFonts w:ascii="Times New Roman" w:hAnsi="Times New Roman" w:cs="Times New Roman"/>
          <w:sz w:val="22"/>
          <w:szCs w:val="22"/>
        </w:rPr>
        <w:t xml:space="preserve">Email: </w:t>
      </w:r>
      <w:hyperlink r:id="rId6" w:history="1">
        <w:r w:rsidRPr="00743950">
          <w:rPr>
            <w:rStyle w:val="Hyperlink"/>
            <w:rFonts w:ascii="Times New Roman" w:hAnsi="Times New Roman" w:cs="Times New Roman"/>
            <w:sz w:val="22"/>
            <w:szCs w:val="22"/>
          </w:rPr>
          <w:t>vrajasurya@gmail.com</w:t>
        </w:r>
      </w:hyperlink>
    </w:p>
    <w:p w14:paraId="2AB2692C" w14:textId="77777777" w:rsidR="00743950" w:rsidRPr="00743950" w:rsidRDefault="00743950">
      <w:pPr>
        <w:rPr>
          <w:rFonts w:ascii="Times New Roman" w:hAnsi="Times New Roman" w:cs="Times New Roman"/>
          <w:sz w:val="22"/>
          <w:szCs w:val="22"/>
        </w:rPr>
      </w:pPr>
      <w:r w:rsidRPr="00743950">
        <w:rPr>
          <w:rFonts w:ascii="Times New Roman" w:hAnsi="Times New Roman" w:cs="Times New Roman"/>
          <w:sz w:val="22"/>
          <w:szCs w:val="22"/>
        </w:rPr>
        <w:t>Type of presentation: Oral poster</w:t>
      </w:r>
    </w:p>
    <w:p w14:paraId="19797C00" w14:textId="77777777" w:rsidR="00743950" w:rsidRDefault="00743950"/>
    <w:p w14:paraId="6496DC9F" w14:textId="77777777" w:rsidR="00743950" w:rsidRDefault="00743950"/>
    <w:p w14:paraId="0A9AAAB0" w14:textId="77777777" w:rsidR="00743950" w:rsidRDefault="00743950"/>
    <w:sectPr w:rsidR="00743950" w:rsidSect="006B720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618E"/>
    <w:rsid w:val="0036509D"/>
    <w:rsid w:val="00540714"/>
    <w:rsid w:val="0064618E"/>
    <w:rsid w:val="006B720E"/>
    <w:rsid w:val="00743950"/>
    <w:rsid w:val="00A62E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F3A27D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61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43950"/>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61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4395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157062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scholar.google.com/citations?user=qERIWkYAAAAJ&amp;hl=en" TargetMode="External"/><Relationship Id="rId6" Type="http://schemas.openxmlformats.org/officeDocument/2006/relationships/hyperlink" Target="mailto:vrajasurya@gmail.com"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446</Words>
  <Characters>2545</Characters>
  <Application>Microsoft Macintosh Word</Application>
  <DocSecurity>0</DocSecurity>
  <Lines>21</Lines>
  <Paragraphs>5</Paragraphs>
  <ScaleCrop>false</ScaleCrop>
  <Company>Personal</Company>
  <LinksUpToDate>false</LinksUpToDate>
  <CharactersWithSpaces>2986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Venkat Rajasurya</dc:creator>
  <cp:keywords/>
  <dc:description/>
  <cp:lastModifiedBy>Venkat Rajasurya</cp:lastModifiedBy>
  <cp:revision>3</cp:revision>
  <dcterms:created xsi:type="dcterms:W3CDTF">2019-05-22T19:24:00Z</dcterms:created>
  <dcterms:modified xsi:type="dcterms:W3CDTF">2019-05-22T19:24:00Z</dcterms:modified>
</cp:coreProperties>
</file>