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21D" w:rsidRPr="00B0021D" w:rsidRDefault="00B0021D" w:rsidP="00B0021D">
      <w:pPr>
        <w:bidi w:val="0"/>
        <w:rPr>
          <w:rFonts w:asciiTheme="majorBidi" w:hAnsiTheme="majorBidi" w:cstheme="majorBidi"/>
          <w:b/>
          <w:bCs/>
          <w:sz w:val="24"/>
          <w:szCs w:val="24"/>
        </w:rPr>
      </w:pPr>
      <w:r w:rsidRPr="00B0021D">
        <w:rPr>
          <w:rFonts w:asciiTheme="majorBidi" w:hAnsiTheme="majorBidi" w:cstheme="majorBidi"/>
          <w:b/>
          <w:bCs/>
          <w:sz w:val="24"/>
          <w:szCs w:val="24"/>
        </w:rPr>
        <w:t xml:space="preserve">Tissue PCR Diagnosis of Patients Suspicious for Tuberculous Pleurisy </w:t>
      </w:r>
    </w:p>
    <w:p w:rsidR="00B0021D" w:rsidRPr="00B0021D" w:rsidRDefault="00B0021D" w:rsidP="00B0021D">
      <w:pPr>
        <w:bidi w:val="0"/>
        <w:rPr>
          <w:rFonts w:asciiTheme="majorBidi" w:hAnsiTheme="majorBidi" w:cstheme="majorBidi"/>
          <w:sz w:val="24"/>
          <w:szCs w:val="24"/>
          <w:vertAlign w:val="superscript"/>
        </w:rPr>
      </w:pPr>
      <w:r w:rsidRPr="00B0021D">
        <w:rPr>
          <w:rFonts w:asciiTheme="majorBidi" w:hAnsiTheme="majorBidi" w:cstheme="majorBidi"/>
          <w:sz w:val="24"/>
          <w:szCs w:val="24"/>
        </w:rPr>
        <w:t xml:space="preserve">Mahnaz Amini </w:t>
      </w:r>
      <w:r w:rsidRPr="00B0021D">
        <w:rPr>
          <w:rFonts w:asciiTheme="majorBidi" w:hAnsiTheme="majorBidi" w:cstheme="majorBidi"/>
          <w:sz w:val="24"/>
          <w:szCs w:val="24"/>
          <w:vertAlign w:val="superscript"/>
        </w:rPr>
        <w:t>1*</w:t>
      </w:r>
      <w:r w:rsidRPr="00B0021D">
        <w:rPr>
          <w:rFonts w:asciiTheme="majorBidi" w:hAnsiTheme="majorBidi" w:cstheme="majorBidi"/>
          <w:sz w:val="24"/>
          <w:szCs w:val="24"/>
        </w:rPr>
        <w:t xml:space="preserve">, Davood Attaran </w:t>
      </w:r>
      <w:r w:rsidRPr="00B0021D">
        <w:rPr>
          <w:rFonts w:asciiTheme="majorBidi" w:hAnsiTheme="majorBidi" w:cstheme="majorBidi"/>
          <w:sz w:val="24"/>
          <w:szCs w:val="24"/>
          <w:vertAlign w:val="superscript"/>
        </w:rPr>
        <w:t>1</w:t>
      </w:r>
      <w:r w:rsidRPr="00B0021D">
        <w:rPr>
          <w:rFonts w:asciiTheme="majorBidi" w:hAnsiTheme="majorBidi" w:cstheme="majorBidi"/>
          <w:sz w:val="24"/>
          <w:szCs w:val="24"/>
        </w:rPr>
        <w:t xml:space="preserve">, </w:t>
      </w:r>
      <w:proofErr w:type="spellStart"/>
      <w:r w:rsidRPr="00B0021D">
        <w:rPr>
          <w:rFonts w:asciiTheme="majorBidi" w:hAnsiTheme="majorBidi" w:cstheme="majorBidi"/>
          <w:sz w:val="24"/>
          <w:szCs w:val="24"/>
        </w:rPr>
        <w:t>Kiarash</w:t>
      </w:r>
      <w:proofErr w:type="spellEnd"/>
      <w:r w:rsidRPr="00B0021D">
        <w:rPr>
          <w:rFonts w:asciiTheme="majorBidi" w:hAnsiTheme="majorBidi" w:cstheme="majorBidi"/>
          <w:sz w:val="24"/>
          <w:szCs w:val="24"/>
        </w:rPr>
        <w:t xml:space="preserve"> Ghazvini </w:t>
      </w:r>
      <w:r w:rsidRPr="00B0021D">
        <w:rPr>
          <w:rFonts w:asciiTheme="majorBidi" w:hAnsiTheme="majorBidi" w:cstheme="majorBidi"/>
          <w:sz w:val="24"/>
          <w:szCs w:val="24"/>
          <w:vertAlign w:val="superscript"/>
        </w:rPr>
        <w:t>2</w:t>
      </w:r>
      <w:r w:rsidRPr="00B0021D">
        <w:rPr>
          <w:rFonts w:asciiTheme="majorBidi" w:hAnsiTheme="majorBidi" w:cstheme="majorBidi"/>
          <w:sz w:val="24"/>
          <w:szCs w:val="24"/>
        </w:rPr>
        <w:t xml:space="preserve">, Habibollah Esmaily </w:t>
      </w:r>
      <w:r w:rsidRPr="00B0021D">
        <w:rPr>
          <w:rFonts w:asciiTheme="majorBidi" w:hAnsiTheme="majorBidi" w:cstheme="majorBidi"/>
          <w:sz w:val="24"/>
          <w:szCs w:val="24"/>
          <w:vertAlign w:val="superscript"/>
        </w:rPr>
        <w:t>3</w:t>
      </w:r>
      <w:r w:rsidRPr="00B0021D">
        <w:rPr>
          <w:rFonts w:asciiTheme="majorBidi" w:hAnsiTheme="majorBidi" w:cstheme="majorBidi"/>
          <w:sz w:val="24"/>
          <w:szCs w:val="24"/>
        </w:rPr>
        <w:t xml:space="preserve">, </w:t>
      </w:r>
      <w:proofErr w:type="spellStart"/>
      <w:r w:rsidRPr="00B0021D">
        <w:rPr>
          <w:rFonts w:asciiTheme="majorBidi" w:hAnsiTheme="majorBidi" w:cstheme="majorBidi"/>
          <w:sz w:val="24"/>
          <w:szCs w:val="24"/>
        </w:rPr>
        <w:t>Mahmood</w:t>
      </w:r>
      <w:proofErr w:type="spellEnd"/>
      <w:r w:rsidRPr="00B0021D">
        <w:rPr>
          <w:rFonts w:asciiTheme="majorBidi" w:hAnsiTheme="majorBidi" w:cstheme="majorBidi"/>
          <w:sz w:val="24"/>
          <w:szCs w:val="24"/>
        </w:rPr>
        <w:t xml:space="preserve"> Bagheri </w:t>
      </w:r>
      <w:r w:rsidRPr="00B0021D">
        <w:rPr>
          <w:rFonts w:asciiTheme="majorBidi" w:hAnsiTheme="majorBidi" w:cstheme="majorBidi"/>
          <w:sz w:val="24"/>
          <w:szCs w:val="24"/>
          <w:vertAlign w:val="superscript"/>
        </w:rPr>
        <w:t>2</w:t>
      </w:r>
    </w:p>
    <w:p w:rsidR="00B0021D" w:rsidRPr="00B0021D" w:rsidRDefault="00B0021D" w:rsidP="00B0021D">
      <w:pPr>
        <w:pStyle w:val="ListParagraph"/>
        <w:numPr>
          <w:ilvl w:val="0"/>
          <w:numId w:val="1"/>
        </w:numPr>
        <w:bidi w:val="0"/>
        <w:rPr>
          <w:rFonts w:asciiTheme="majorBidi" w:hAnsiTheme="majorBidi" w:cstheme="majorBidi"/>
          <w:sz w:val="24"/>
          <w:szCs w:val="24"/>
          <w:vertAlign w:val="superscript"/>
        </w:rPr>
      </w:pPr>
      <w:r w:rsidRPr="00B0021D">
        <w:rPr>
          <w:rFonts w:asciiTheme="majorBidi" w:hAnsiTheme="majorBidi" w:cstheme="majorBidi"/>
          <w:sz w:val="20"/>
          <w:szCs w:val="20"/>
        </w:rPr>
        <w:t xml:space="preserve">Lung diseases research center, Mashhad University of Medical Science, Mashhad, Iran </w:t>
      </w:r>
    </w:p>
    <w:p w:rsidR="00B0021D" w:rsidRPr="00B0021D" w:rsidRDefault="00B0021D" w:rsidP="00B0021D">
      <w:pPr>
        <w:pStyle w:val="ListParagraph"/>
        <w:numPr>
          <w:ilvl w:val="0"/>
          <w:numId w:val="1"/>
        </w:numPr>
        <w:bidi w:val="0"/>
        <w:rPr>
          <w:rFonts w:asciiTheme="majorBidi" w:hAnsiTheme="majorBidi" w:cstheme="majorBidi"/>
          <w:sz w:val="24"/>
          <w:szCs w:val="24"/>
          <w:vertAlign w:val="superscript"/>
        </w:rPr>
      </w:pPr>
      <w:r w:rsidRPr="00B0021D">
        <w:rPr>
          <w:rFonts w:asciiTheme="majorBidi" w:hAnsiTheme="majorBidi" w:cstheme="majorBidi"/>
          <w:sz w:val="20"/>
          <w:szCs w:val="20"/>
        </w:rPr>
        <w:t xml:space="preserve">Department of Mycobacteriology, Ghaem Hospital, MUMS, Mashhad, Iran </w:t>
      </w:r>
    </w:p>
    <w:p w:rsidR="00B0021D" w:rsidRPr="00B0021D" w:rsidRDefault="00B0021D" w:rsidP="00B0021D">
      <w:pPr>
        <w:pStyle w:val="ListParagraph"/>
        <w:numPr>
          <w:ilvl w:val="0"/>
          <w:numId w:val="1"/>
        </w:numPr>
        <w:bidi w:val="0"/>
        <w:rPr>
          <w:rFonts w:asciiTheme="majorBidi" w:hAnsiTheme="majorBidi" w:cstheme="majorBidi"/>
          <w:sz w:val="24"/>
          <w:szCs w:val="24"/>
          <w:vertAlign w:val="superscript"/>
        </w:rPr>
      </w:pPr>
      <w:r w:rsidRPr="00B0021D">
        <w:rPr>
          <w:rFonts w:asciiTheme="majorBidi" w:hAnsiTheme="majorBidi" w:cstheme="majorBidi"/>
          <w:sz w:val="20"/>
          <w:szCs w:val="20"/>
        </w:rPr>
        <w:t>School of Medicine, Mashhad University of Medical Science, Mashhad, Iran</w:t>
      </w:r>
    </w:p>
    <w:p w:rsidR="00B0021D" w:rsidRPr="00B0021D" w:rsidRDefault="00B0021D" w:rsidP="00B0021D">
      <w:pPr>
        <w:bidi w:val="0"/>
        <w:rPr>
          <w:rFonts w:asciiTheme="majorBidi" w:hAnsiTheme="majorBidi" w:cstheme="majorBidi"/>
          <w:sz w:val="24"/>
          <w:szCs w:val="24"/>
        </w:rPr>
      </w:pPr>
      <w:r w:rsidRPr="00B0021D">
        <w:rPr>
          <w:rFonts w:asciiTheme="majorBidi" w:hAnsiTheme="majorBidi" w:cstheme="majorBidi"/>
          <w:sz w:val="24"/>
          <w:szCs w:val="24"/>
        </w:rPr>
        <w:t xml:space="preserve">Abstract </w:t>
      </w:r>
    </w:p>
    <w:p w:rsidR="00B0021D" w:rsidRPr="00B0021D" w:rsidRDefault="00B0021D" w:rsidP="00B0021D">
      <w:pPr>
        <w:bidi w:val="0"/>
        <w:jc w:val="both"/>
        <w:rPr>
          <w:rFonts w:asciiTheme="majorBidi" w:hAnsiTheme="majorBidi" w:cstheme="majorBidi"/>
          <w:b/>
          <w:bCs/>
          <w:sz w:val="24"/>
          <w:szCs w:val="24"/>
        </w:rPr>
      </w:pPr>
      <w:r w:rsidRPr="00B0021D">
        <w:rPr>
          <w:rFonts w:asciiTheme="majorBidi" w:hAnsiTheme="majorBidi" w:cstheme="majorBidi"/>
          <w:b/>
          <w:bCs/>
          <w:sz w:val="24"/>
          <w:szCs w:val="24"/>
        </w:rPr>
        <w:t>Objective</w:t>
      </w:r>
      <w:r w:rsidRPr="00B0021D">
        <w:rPr>
          <w:rFonts w:asciiTheme="majorBidi" w:hAnsiTheme="majorBidi" w:cstheme="majorBidi"/>
          <w:sz w:val="24"/>
          <w:szCs w:val="24"/>
        </w:rPr>
        <w:t xml:space="preserve">: This study planned to assess the value of PCR IS6110 assay in tissue specimens of needle pleural biopsy in patients suspicious to pleural tuberculosis. </w:t>
      </w:r>
      <w:r w:rsidRPr="00B0021D">
        <w:rPr>
          <w:rFonts w:asciiTheme="majorBidi" w:hAnsiTheme="majorBidi" w:cstheme="majorBidi"/>
          <w:b/>
          <w:bCs/>
          <w:sz w:val="24"/>
          <w:szCs w:val="24"/>
        </w:rPr>
        <w:t>Methods</w:t>
      </w:r>
      <w:r w:rsidRPr="00B0021D">
        <w:rPr>
          <w:rFonts w:asciiTheme="majorBidi" w:hAnsiTheme="majorBidi" w:cstheme="majorBidi"/>
          <w:sz w:val="24"/>
          <w:szCs w:val="24"/>
        </w:rPr>
        <w:t xml:space="preserve">: Sixty eight patients with lymphocytic exudative pleural effusion underwent pleural biopsy. Tissue samples were sent for pathologic examination and PCR IS6110 assay. The results of PCR reported as positive/ negative and assessed according to the current gold standard pathologic diagnosis. </w:t>
      </w:r>
      <w:r w:rsidRPr="00B0021D">
        <w:rPr>
          <w:rFonts w:asciiTheme="majorBidi" w:hAnsiTheme="majorBidi" w:cstheme="majorBidi"/>
          <w:b/>
          <w:bCs/>
          <w:sz w:val="24"/>
          <w:szCs w:val="24"/>
        </w:rPr>
        <w:t>Results</w:t>
      </w:r>
      <w:r w:rsidRPr="00B0021D">
        <w:rPr>
          <w:rFonts w:asciiTheme="majorBidi" w:hAnsiTheme="majorBidi" w:cstheme="majorBidi"/>
          <w:sz w:val="24"/>
          <w:szCs w:val="24"/>
        </w:rPr>
        <w:t xml:space="preserve">: Twenty nine patients had tuberculous and 12 had malignant pleural involvement, respectively. The remaining 27 samples were reported as non-specific pleurisy. Results of PCR were positive in 35 out of 68 total subjects and in 19 out of 29 TB patients. Sensitivity and specificity of PCR were calculated as 67.9% and 62.5%, respectively. </w:t>
      </w:r>
      <w:r w:rsidRPr="00B0021D">
        <w:rPr>
          <w:rFonts w:asciiTheme="majorBidi" w:hAnsiTheme="majorBidi" w:cstheme="majorBidi"/>
          <w:b/>
          <w:bCs/>
          <w:sz w:val="24"/>
          <w:szCs w:val="24"/>
        </w:rPr>
        <w:t>Conclusion</w:t>
      </w:r>
      <w:r w:rsidRPr="00B0021D">
        <w:rPr>
          <w:rFonts w:asciiTheme="majorBidi" w:hAnsiTheme="majorBidi" w:cstheme="majorBidi"/>
          <w:sz w:val="24"/>
          <w:szCs w:val="24"/>
        </w:rPr>
        <w:t xml:space="preserve">: An acceptable sensitivity and specificity for PCR examination of pleural tissue can serve it as a useful adjunct in undergoing needle pleural biopsy for possibility of tuberculosis. </w:t>
      </w:r>
    </w:p>
    <w:p w:rsidR="00BE5543" w:rsidRPr="00B0021D" w:rsidRDefault="00B0021D" w:rsidP="00B0021D">
      <w:pPr>
        <w:bidi w:val="0"/>
        <w:jc w:val="both"/>
        <w:rPr>
          <w:rFonts w:asciiTheme="majorBidi" w:hAnsiTheme="majorBidi" w:cstheme="majorBidi"/>
          <w:sz w:val="24"/>
          <w:szCs w:val="24"/>
        </w:rPr>
      </w:pPr>
      <w:r w:rsidRPr="00B0021D">
        <w:rPr>
          <w:rFonts w:asciiTheme="majorBidi" w:hAnsiTheme="majorBidi" w:cstheme="majorBidi"/>
          <w:b/>
          <w:bCs/>
          <w:sz w:val="24"/>
          <w:szCs w:val="24"/>
        </w:rPr>
        <w:t>Keywords</w:t>
      </w:r>
      <w:r w:rsidRPr="00B0021D">
        <w:rPr>
          <w:rFonts w:asciiTheme="majorBidi" w:hAnsiTheme="majorBidi" w:cstheme="majorBidi"/>
          <w:sz w:val="24"/>
          <w:szCs w:val="24"/>
        </w:rPr>
        <w:t>: DNA Primers, Mycobacterium tuberculosis, Pleural, Polymerase chain reaction</w:t>
      </w:r>
    </w:p>
    <w:sectPr w:rsidR="00BE5543" w:rsidRPr="00B0021D" w:rsidSect="00F93B5D">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D08EC"/>
    <w:multiLevelType w:val="hybridMultilevel"/>
    <w:tmpl w:val="41829DA8"/>
    <w:lvl w:ilvl="0" w:tplc="C42C781C">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B0021D"/>
    <w:rsid w:val="000A5561"/>
    <w:rsid w:val="0028368B"/>
    <w:rsid w:val="00407478"/>
    <w:rsid w:val="00B0021D"/>
    <w:rsid w:val="00BE5543"/>
    <w:rsid w:val="00C85B06"/>
    <w:rsid w:val="00F93B5D"/>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54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21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222</Words>
  <Characters>1267</Characters>
  <Application>Microsoft Office Word</Application>
  <DocSecurity>0</DocSecurity>
  <Lines>10</Lines>
  <Paragraphs>2</Paragraphs>
  <ScaleCrop>false</ScaleCrop>
  <Company>MUMS</Company>
  <LinksUpToDate>false</LinksUpToDate>
  <CharactersWithSpaces>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aminim</dc:creator>
  <cp:lastModifiedBy>aminim</cp:lastModifiedBy>
  <cp:revision>1</cp:revision>
  <dcterms:created xsi:type="dcterms:W3CDTF">2017-09-12T07:16:00Z</dcterms:created>
  <dcterms:modified xsi:type="dcterms:W3CDTF">2017-09-12T07:21:00Z</dcterms:modified>
</cp:coreProperties>
</file>