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1DE" w:rsidRPr="003F51DE" w:rsidRDefault="003F51DE" w:rsidP="003F51DE">
      <w:pPr>
        <w:jc w:val="both"/>
        <w:rPr>
          <w:rFonts w:ascii="Times New Roman" w:hAnsi="Times New Roman" w:cs="Times New Roman"/>
          <w:b/>
          <w:sz w:val="24"/>
          <w:szCs w:val="24"/>
        </w:rPr>
      </w:pPr>
      <w:r w:rsidRPr="003F51DE">
        <w:rPr>
          <w:rFonts w:ascii="Times New Roman" w:hAnsi="Times New Roman" w:cs="Times New Roman"/>
          <w:b/>
          <w:sz w:val="24"/>
          <w:szCs w:val="24"/>
        </w:rPr>
        <w:t>ABSTRACT</w:t>
      </w:r>
    </w:p>
    <w:p w:rsidR="003F51DE" w:rsidRDefault="003F51DE" w:rsidP="003F51DE">
      <w:pPr>
        <w:jc w:val="both"/>
        <w:rPr>
          <w:rFonts w:ascii="Times New Roman" w:hAnsi="Times New Roman" w:cs="Times New Roman"/>
          <w:sz w:val="24"/>
          <w:szCs w:val="24"/>
        </w:rPr>
      </w:pPr>
    </w:p>
    <w:p w:rsidR="003F51DE" w:rsidRDefault="003F51DE" w:rsidP="003F51DE">
      <w:pPr>
        <w:jc w:val="both"/>
        <w:rPr>
          <w:rFonts w:ascii="Times New Roman" w:hAnsi="Times New Roman" w:cs="Times New Roman"/>
          <w:sz w:val="24"/>
          <w:szCs w:val="24"/>
        </w:rPr>
      </w:pPr>
      <w:r>
        <w:rPr>
          <w:rFonts w:ascii="Times New Roman" w:hAnsi="Times New Roman" w:cs="Times New Roman"/>
          <w:sz w:val="24"/>
          <w:szCs w:val="24"/>
        </w:rPr>
        <w:t>ABO</w:t>
      </w:r>
      <w:r>
        <w:rPr>
          <w:rFonts w:ascii="Times New Roman" w:hAnsi="Times New Roman" w:cs="Times New Roman"/>
          <w:sz w:val="24"/>
          <w:szCs w:val="24"/>
          <w:vertAlign w:val="subscript"/>
        </w:rPr>
        <w:t>3</w:t>
      </w:r>
      <w:r>
        <w:rPr>
          <w:rFonts w:ascii="Times New Roman" w:hAnsi="Times New Roman" w:cs="Times New Roman"/>
          <w:sz w:val="24"/>
          <w:szCs w:val="24"/>
        </w:rPr>
        <w:t xml:space="preserve"> type </w:t>
      </w:r>
      <w:proofErr w:type="spellStart"/>
      <w:r>
        <w:rPr>
          <w:rFonts w:ascii="Times New Roman" w:hAnsi="Times New Roman" w:cs="Times New Roman"/>
          <w:sz w:val="24"/>
          <w:szCs w:val="24"/>
        </w:rPr>
        <w:t>pervoskite</w:t>
      </w:r>
      <w:proofErr w:type="spellEnd"/>
      <w:r>
        <w:rPr>
          <w:rFonts w:ascii="Times New Roman" w:hAnsi="Times New Roman" w:cs="Times New Roman"/>
          <w:sz w:val="24"/>
          <w:szCs w:val="24"/>
        </w:rPr>
        <w:t xml:space="preserve"> oxides are very important material for their numerous technological applications in electro-optics, waveguides, laser frequency doubling, high capacity computer memory cells, mechanical and non-linear instrument, as well as catalysis. They are also frequently used as substrates for copper-based high </w:t>
      </w:r>
      <w:proofErr w:type="spellStart"/>
      <w:r>
        <w:rPr>
          <w:rFonts w:ascii="Times New Roman" w:hAnsi="Times New Roman" w:cs="Times New Roman"/>
          <w:sz w:val="24"/>
          <w:szCs w:val="24"/>
        </w:rPr>
        <w:t>T</w:t>
      </w:r>
      <w:r>
        <w:rPr>
          <w:rFonts w:ascii="Times New Roman" w:hAnsi="Times New Roman" w:cs="Times New Roman"/>
          <w:sz w:val="24"/>
          <w:szCs w:val="24"/>
          <w:vertAlign w:val="subscript"/>
        </w:rPr>
        <w:t>c</w:t>
      </w:r>
      <w:proofErr w:type="spellEnd"/>
      <w:r>
        <w:rPr>
          <w:rFonts w:ascii="Times New Roman" w:hAnsi="Times New Roman" w:cs="Times New Roman"/>
          <w:sz w:val="24"/>
          <w:szCs w:val="24"/>
        </w:rPr>
        <w:t xml:space="preserve">-superconductor growth.  These materials have attracted intensive interest in recent years due to their ferroelectric properties and photo catalytic activity for solar-driven splitting of water into hydrogen fuels. Photo-catalytic activities of these materials are strongly affected by a lot of factors such as the presence of excess alkali, the doping of lanthanum, and the morphology of catalyst particles. Ferroelectric materials are of growing importance for a variety of actual and potential applications. These include </w:t>
      </w:r>
      <w:proofErr w:type="spellStart"/>
      <w:r>
        <w:rPr>
          <w:rFonts w:ascii="Times New Roman" w:hAnsi="Times New Roman" w:cs="Times New Roman"/>
          <w:sz w:val="24"/>
          <w:szCs w:val="24"/>
        </w:rPr>
        <w:t>pyroelectric</w:t>
      </w:r>
      <w:proofErr w:type="spellEnd"/>
      <w:r>
        <w:rPr>
          <w:rFonts w:ascii="Times New Roman" w:hAnsi="Times New Roman" w:cs="Times New Roman"/>
          <w:sz w:val="24"/>
          <w:szCs w:val="24"/>
        </w:rPr>
        <w:t xml:space="preserve"> arrays, micro sensors, capacitors, piezoelectric for ultrasound imaging, </w:t>
      </w:r>
      <w:proofErr w:type="spellStart"/>
      <w:r>
        <w:rPr>
          <w:rFonts w:ascii="Times New Roman" w:hAnsi="Times New Roman" w:cs="Times New Roman"/>
          <w:sz w:val="24"/>
          <w:szCs w:val="24"/>
        </w:rPr>
        <w:t>thermistors</w:t>
      </w:r>
      <w:proofErr w:type="spellEnd"/>
      <w:r>
        <w:rPr>
          <w:rFonts w:ascii="Times New Roman" w:hAnsi="Times New Roman" w:cs="Times New Roman"/>
          <w:sz w:val="24"/>
          <w:szCs w:val="24"/>
        </w:rPr>
        <w:t xml:space="preserve">, oscillators and filters, light deflector, modulator and displays applications. The most important class of ferroelectric materials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the </w:t>
      </w:r>
      <w:proofErr w:type="spellStart"/>
      <w:r>
        <w:rPr>
          <w:rFonts w:ascii="Times New Roman" w:hAnsi="Times New Roman" w:cs="Times New Roman"/>
          <w:sz w:val="24"/>
          <w:szCs w:val="24"/>
        </w:rPr>
        <w:t>pervoskite</w:t>
      </w:r>
      <w:proofErr w:type="spellEnd"/>
      <w:r>
        <w:rPr>
          <w:rFonts w:ascii="Times New Roman" w:hAnsi="Times New Roman" w:cs="Times New Roman"/>
          <w:sz w:val="24"/>
          <w:szCs w:val="24"/>
        </w:rPr>
        <w:t xml:space="preserve"> oxides ABO</w:t>
      </w:r>
      <w:r>
        <w:rPr>
          <w:rFonts w:ascii="Times New Roman" w:hAnsi="Times New Roman" w:cs="Times New Roman"/>
          <w:sz w:val="24"/>
          <w:szCs w:val="24"/>
          <w:vertAlign w:val="subscript"/>
        </w:rPr>
        <w:t>3</w:t>
      </w:r>
      <w:r>
        <w:rPr>
          <w:rFonts w:ascii="Times New Roman" w:hAnsi="Times New Roman" w:cs="Times New Roman"/>
          <w:sz w:val="24"/>
          <w:szCs w:val="24"/>
        </w:rPr>
        <w:t xml:space="preserve">. At high temperature these all share the </w:t>
      </w:r>
      <w:proofErr w:type="spellStart"/>
      <w:r>
        <w:rPr>
          <w:rFonts w:ascii="Times New Roman" w:hAnsi="Times New Roman" w:cs="Times New Roman"/>
          <w:sz w:val="24"/>
          <w:szCs w:val="24"/>
        </w:rPr>
        <w:t>paraelectric</w:t>
      </w:r>
      <w:proofErr w:type="spellEnd"/>
      <w:r>
        <w:rPr>
          <w:rFonts w:ascii="Times New Roman" w:hAnsi="Times New Roman" w:cs="Times New Roman"/>
          <w:sz w:val="24"/>
          <w:szCs w:val="24"/>
        </w:rPr>
        <w:t xml:space="preserve"> simple-cubic </w:t>
      </w:r>
      <w:proofErr w:type="spellStart"/>
      <w:r>
        <w:rPr>
          <w:rFonts w:ascii="Times New Roman" w:hAnsi="Times New Roman" w:cs="Times New Roman"/>
          <w:sz w:val="24"/>
          <w:szCs w:val="24"/>
        </w:rPr>
        <w:t>pervoskite</w:t>
      </w:r>
      <w:proofErr w:type="spellEnd"/>
      <w:r>
        <w:rPr>
          <w:rFonts w:ascii="Times New Roman" w:hAnsi="Times New Roman" w:cs="Times New Roman"/>
          <w:sz w:val="24"/>
          <w:szCs w:val="24"/>
        </w:rPr>
        <w:t xml:space="preserve"> structure. As the temperature is reduced, a structural phase transition into ferroelectric states takes places. The temperature induced phase transition of these materials is also reported in literature. This approach has been applied with considerable success to the ferroelectric </w:t>
      </w:r>
      <w:proofErr w:type="gramStart"/>
      <w:r>
        <w:rPr>
          <w:rFonts w:ascii="Times New Roman" w:hAnsi="Times New Roman" w:cs="Times New Roman"/>
          <w:sz w:val="24"/>
          <w:szCs w:val="24"/>
        </w:rPr>
        <w:t>materials</w:t>
      </w:r>
      <w:proofErr w:type="gramEnd"/>
      <w:r>
        <w:rPr>
          <w:rFonts w:ascii="Times New Roman" w:hAnsi="Times New Roman" w:cs="Times New Roman"/>
          <w:sz w:val="24"/>
          <w:szCs w:val="24"/>
        </w:rPr>
        <w:t>. The transition temperature (</w:t>
      </w:r>
      <w:proofErr w:type="spellStart"/>
      <w:r>
        <w:rPr>
          <w:rFonts w:ascii="Times New Roman" w:hAnsi="Times New Roman" w:cs="Times New Roman"/>
          <w:sz w:val="24"/>
          <w:szCs w:val="24"/>
        </w:rPr>
        <w:t>T</w:t>
      </w:r>
      <w:r>
        <w:rPr>
          <w:rFonts w:ascii="Times New Roman" w:hAnsi="Times New Roman" w:cs="Times New Roman"/>
          <w:sz w:val="24"/>
          <w:szCs w:val="24"/>
          <w:vertAlign w:val="subscript"/>
        </w:rPr>
        <w:t>c</w:t>
      </w:r>
      <w:proofErr w:type="spellEnd"/>
      <w:r>
        <w:rPr>
          <w:rFonts w:ascii="Times New Roman" w:hAnsi="Times New Roman" w:cs="Times New Roman"/>
          <w:sz w:val="24"/>
          <w:szCs w:val="24"/>
        </w:rPr>
        <w:t>) values for cubic-to-tetragonal, tetragonal-to-orthorhombic, and orthorhombic-to-</w:t>
      </w:r>
      <w:proofErr w:type="spellStart"/>
      <w:r>
        <w:rPr>
          <w:rFonts w:ascii="Times New Roman" w:hAnsi="Times New Roman" w:cs="Times New Roman"/>
          <w:sz w:val="24"/>
          <w:szCs w:val="24"/>
        </w:rPr>
        <w:t>rhombohedral</w:t>
      </w:r>
      <w:proofErr w:type="spellEnd"/>
      <w:r>
        <w:rPr>
          <w:rFonts w:ascii="Times New Roman" w:hAnsi="Times New Roman" w:cs="Times New Roman"/>
          <w:sz w:val="24"/>
          <w:szCs w:val="24"/>
        </w:rPr>
        <w:t xml:space="preserve"> structural phase transition in KNbO</w:t>
      </w:r>
      <w:r>
        <w:rPr>
          <w:rFonts w:ascii="Times New Roman" w:hAnsi="Times New Roman" w:cs="Times New Roman"/>
          <w:sz w:val="24"/>
          <w:szCs w:val="24"/>
          <w:vertAlign w:val="subscript"/>
        </w:rPr>
        <w:t xml:space="preserve">3 </w:t>
      </w:r>
      <w:r>
        <w:rPr>
          <w:rFonts w:ascii="Times New Roman" w:hAnsi="Times New Roman" w:cs="Times New Roman"/>
          <w:sz w:val="24"/>
          <w:szCs w:val="24"/>
        </w:rPr>
        <w:t>are obtained from the theory as 370K, 260K and 210K respectively. For RbTaO</w:t>
      </w:r>
      <w:r>
        <w:rPr>
          <w:rFonts w:ascii="Times New Roman" w:hAnsi="Times New Roman" w:cs="Times New Roman"/>
          <w:sz w:val="24"/>
          <w:szCs w:val="24"/>
          <w:vertAlign w:val="subscript"/>
        </w:rPr>
        <w:t>3</w:t>
      </w:r>
      <w:r>
        <w:rPr>
          <w:rFonts w:ascii="Times New Roman" w:hAnsi="Times New Roman" w:cs="Times New Roman"/>
          <w:sz w:val="24"/>
          <w:szCs w:val="24"/>
        </w:rPr>
        <w:t xml:space="preserve">, the existence of the phase transition at 520K in the tetragonal phase was reported. These factors are making them ideal model system for in-depth theoretical investigation. In this work we will present the calculations of the cubic </w:t>
      </w:r>
      <w:proofErr w:type="spellStart"/>
      <w:r>
        <w:rPr>
          <w:rFonts w:ascii="Times New Roman" w:hAnsi="Times New Roman" w:cs="Times New Roman"/>
          <w:sz w:val="24"/>
          <w:szCs w:val="24"/>
        </w:rPr>
        <w:t>pervoskites</w:t>
      </w:r>
      <w:proofErr w:type="spellEnd"/>
      <w:r>
        <w:rPr>
          <w:rFonts w:ascii="Times New Roman" w:hAnsi="Times New Roman" w:cs="Times New Roman"/>
          <w:sz w:val="24"/>
          <w:szCs w:val="24"/>
        </w:rPr>
        <w:t xml:space="preserve">  ABO</w:t>
      </w:r>
      <w:r>
        <w:rPr>
          <w:rFonts w:ascii="Times New Roman" w:hAnsi="Times New Roman" w:cs="Times New Roman"/>
          <w:sz w:val="24"/>
          <w:szCs w:val="24"/>
          <w:vertAlign w:val="subscript"/>
        </w:rPr>
        <w:t>3</w:t>
      </w:r>
      <w:r>
        <w:rPr>
          <w:rFonts w:ascii="Times New Roman" w:hAnsi="Times New Roman" w:cs="Times New Roman"/>
          <w:sz w:val="24"/>
          <w:szCs w:val="24"/>
        </w:rPr>
        <w:t xml:space="preserve"> (A=</w:t>
      </w:r>
      <w:proofErr w:type="spellStart"/>
      <w:r>
        <w:rPr>
          <w:rFonts w:ascii="Times New Roman" w:hAnsi="Times New Roman" w:cs="Times New Roman"/>
          <w:sz w:val="24"/>
          <w:szCs w:val="24"/>
        </w:rPr>
        <w:t>K,Rb</w:t>
      </w:r>
      <w:proofErr w:type="spellEnd"/>
      <w:r>
        <w:rPr>
          <w:rFonts w:ascii="Times New Roman" w:hAnsi="Times New Roman" w:cs="Times New Roman"/>
          <w:color w:val="000000" w:themeColor="text1"/>
          <w:sz w:val="24"/>
          <w:szCs w:val="24"/>
        </w:rPr>
        <w:t>) (B</w:t>
      </w:r>
      <w:r>
        <w:rPr>
          <w:rFonts w:ascii="Times New Roman" w:hAnsi="Times New Roman" w:cs="Times New Roman"/>
          <w:sz w:val="24"/>
          <w:szCs w:val="24"/>
        </w:rPr>
        <w:t>=</w:t>
      </w:r>
      <w:proofErr w:type="spellStart"/>
      <w:r>
        <w:rPr>
          <w:rFonts w:ascii="Times New Roman" w:hAnsi="Times New Roman" w:cs="Times New Roman"/>
          <w:sz w:val="24"/>
          <w:szCs w:val="24"/>
        </w:rPr>
        <w:t>Ta,Nb</w:t>
      </w:r>
      <w:proofErr w:type="spellEnd"/>
      <w:r>
        <w:rPr>
          <w:rFonts w:ascii="Times New Roman" w:hAnsi="Times New Roman" w:cs="Times New Roman"/>
          <w:sz w:val="24"/>
          <w:szCs w:val="24"/>
        </w:rPr>
        <w:t xml:space="preserve">) with space group (Pm-3m) within the </w:t>
      </w:r>
      <w:proofErr w:type="spellStart"/>
      <w:r>
        <w:rPr>
          <w:rFonts w:ascii="Times New Roman" w:hAnsi="Times New Roman" w:cs="Times New Roman"/>
          <w:sz w:val="24"/>
          <w:szCs w:val="24"/>
        </w:rPr>
        <w:t>ab</w:t>
      </w:r>
      <w:proofErr w:type="spellEnd"/>
      <w:r>
        <w:rPr>
          <w:rFonts w:ascii="Times New Roman" w:hAnsi="Times New Roman" w:cs="Times New Roman"/>
          <w:sz w:val="24"/>
          <w:szCs w:val="24"/>
        </w:rPr>
        <w:t xml:space="preserve">-initio calculation based on the density functional theory (DFT) to investigate the </w:t>
      </w:r>
      <w:r>
        <w:rPr>
          <w:rFonts w:ascii="Times New Roman" w:hAnsi="Times New Roman" w:cs="Times New Roman"/>
          <w:color w:val="FF0000"/>
          <w:sz w:val="24"/>
          <w:szCs w:val="24"/>
        </w:rPr>
        <w:t>s</w:t>
      </w:r>
      <w:r>
        <w:rPr>
          <w:rFonts w:ascii="Times New Roman" w:hAnsi="Times New Roman" w:cs="Times New Roman"/>
          <w:sz w:val="24"/>
          <w:szCs w:val="24"/>
        </w:rPr>
        <w:t xml:space="preserve">tructural, </w:t>
      </w:r>
      <w:r>
        <w:rPr>
          <w:rFonts w:ascii="Times New Roman" w:hAnsi="Times New Roman" w:cs="Times New Roman"/>
          <w:color w:val="FF0000"/>
          <w:sz w:val="24"/>
          <w:szCs w:val="24"/>
        </w:rPr>
        <w:t>e</w:t>
      </w:r>
      <w:r>
        <w:rPr>
          <w:rFonts w:ascii="Times New Roman" w:hAnsi="Times New Roman" w:cs="Times New Roman"/>
          <w:sz w:val="24"/>
          <w:szCs w:val="24"/>
        </w:rPr>
        <w:t xml:space="preserve">lectronic, </w:t>
      </w:r>
      <w:r>
        <w:rPr>
          <w:rFonts w:ascii="Times New Roman" w:hAnsi="Times New Roman" w:cs="Times New Roman"/>
          <w:color w:val="FF0000"/>
          <w:sz w:val="24"/>
          <w:szCs w:val="24"/>
        </w:rPr>
        <w:t>e</w:t>
      </w:r>
      <w:r>
        <w:rPr>
          <w:rFonts w:ascii="Times New Roman" w:hAnsi="Times New Roman" w:cs="Times New Roman"/>
          <w:sz w:val="24"/>
          <w:szCs w:val="24"/>
        </w:rPr>
        <w:t xml:space="preserve">lastic, </w:t>
      </w:r>
      <w:r>
        <w:rPr>
          <w:rFonts w:ascii="Times New Roman" w:hAnsi="Times New Roman" w:cs="Times New Roman"/>
          <w:color w:val="FF0000"/>
          <w:sz w:val="24"/>
          <w:szCs w:val="24"/>
        </w:rPr>
        <w:t>m</w:t>
      </w:r>
      <w:r>
        <w:rPr>
          <w:rFonts w:ascii="Times New Roman" w:hAnsi="Times New Roman" w:cs="Times New Roman"/>
          <w:sz w:val="24"/>
          <w:szCs w:val="24"/>
        </w:rPr>
        <w:t xml:space="preserve">echanical, </w:t>
      </w:r>
      <w:r>
        <w:rPr>
          <w:rFonts w:ascii="Times New Roman" w:hAnsi="Times New Roman" w:cs="Times New Roman"/>
          <w:color w:val="FF0000"/>
          <w:sz w:val="24"/>
          <w:szCs w:val="24"/>
        </w:rPr>
        <w:t>m</w:t>
      </w:r>
      <w:r>
        <w:rPr>
          <w:rFonts w:ascii="Times New Roman" w:hAnsi="Times New Roman" w:cs="Times New Roman"/>
          <w:sz w:val="24"/>
          <w:szCs w:val="24"/>
        </w:rPr>
        <w:t xml:space="preserve">agnetic and </w:t>
      </w:r>
      <w:r>
        <w:rPr>
          <w:rFonts w:ascii="Times New Roman" w:hAnsi="Times New Roman" w:cs="Times New Roman"/>
          <w:color w:val="FF0000"/>
          <w:sz w:val="24"/>
          <w:szCs w:val="24"/>
        </w:rPr>
        <w:t>p</w:t>
      </w:r>
      <w:r>
        <w:rPr>
          <w:rFonts w:ascii="Times New Roman" w:hAnsi="Times New Roman" w:cs="Times New Roman"/>
          <w:sz w:val="24"/>
          <w:szCs w:val="24"/>
        </w:rPr>
        <w:t>honon properties at ambient and high pressure.</w:t>
      </w:r>
    </w:p>
    <w:p w:rsidR="003F51DE" w:rsidRDefault="003F51DE" w:rsidP="003F51DE">
      <w:pPr>
        <w:pStyle w:val="ListParagraph"/>
        <w:tabs>
          <w:tab w:val="left" w:pos="840"/>
        </w:tabs>
        <w:spacing w:before="208"/>
        <w:ind w:left="0" w:firstLine="0"/>
        <w:jc w:val="both"/>
        <w:rPr>
          <w:rFonts w:ascii="Times New Roman" w:hAnsi="Times New Roman" w:cs="Times New Roman"/>
          <w:sz w:val="24"/>
          <w:szCs w:val="24"/>
        </w:rPr>
      </w:pPr>
    </w:p>
    <w:p w:rsidR="007D1DDB" w:rsidRDefault="007D1DDB"/>
    <w:sectPr w:rsidR="007D1DDB" w:rsidSect="007D1DD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3F51DE"/>
    <w:rsid w:val="003F51DE"/>
    <w:rsid w:val="007D1DD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F51DE"/>
    <w:pPr>
      <w:widowControl w:val="0"/>
      <w:autoSpaceDE w:val="0"/>
      <w:autoSpaceDN w:val="0"/>
      <w:spacing w:after="0" w:line="240" w:lineRule="auto"/>
    </w:pPr>
    <w:rPr>
      <w:rFonts w:ascii="Arial" w:eastAsia="Arial"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F51DE"/>
    <w:pPr>
      <w:ind w:left="840" w:hanging="711"/>
    </w:pPr>
  </w:style>
</w:styles>
</file>

<file path=word/webSettings.xml><?xml version="1.0" encoding="utf-8"?>
<w:webSettings xmlns:r="http://schemas.openxmlformats.org/officeDocument/2006/relationships" xmlns:w="http://schemas.openxmlformats.org/wordprocessingml/2006/main">
  <w:divs>
    <w:div w:id="2092774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332</Words>
  <Characters>1898</Characters>
  <Application>Microsoft Office Word</Application>
  <DocSecurity>0</DocSecurity>
  <Lines>15</Lines>
  <Paragraphs>4</Paragraphs>
  <ScaleCrop>false</ScaleCrop>
  <Company>Hewlett-Packard</Company>
  <LinksUpToDate>false</LinksUpToDate>
  <CharactersWithSpaces>2226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puja goswami</dc:creator>
  <cp:lastModifiedBy>puja goswami</cp:lastModifiedBy>
  <cp:revision>1</cp:revision>
  <dcterms:created xsi:type="dcterms:W3CDTF">2018-06-22T13:48:00Z</dcterms:created>
  <dcterms:modified xsi:type="dcterms:W3CDTF">2018-06-22T13:49:00Z</dcterms:modified>
</cp:coreProperties>
</file>