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272" w:rsidRPr="00A10272" w:rsidRDefault="00AC701D" w:rsidP="00A10272">
      <w:pPr>
        <w:jc w:val="center"/>
        <w:rPr>
          <w:rFonts w:ascii="Times New Roman" w:eastAsiaTheme="minorEastAsia" w:hAnsi="Times New Roman" w:cs="Times New Roman"/>
          <w:b/>
          <w:sz w:val="28"/>
          <w:szCs w:val="28"/>
          <w:lang w:val="en-GB"/>
        </w:rPr>
      </w:pPr>
      <w:r>
        <w:rPr>
          <w:rFonts w:ascii="Times New Roman" w:eastAsiaTheme="minorEastAsia" w:hAnsi="Times New Roman" w:cs="Times New Roman"/>
          <w:b/>
          <w:sz w:val="28"/>
          <w:szCs w:val="28"/>
          <w:lang w:val="en-GB"/>
        </w:rPr>
        <w:t xml:space="preserve">A Novel and Fast Iterative Method to Calculate the Boundary Conditions for CFD Simulation of Blood Flows in Coronary Artery Trees </w:t>
      </w:r>
    </w:p>
    <w:p w:rsidR="00A10272" w:rsidRDefault="00C85AFA" w:rsidP="00A10272">
      <w:pPr>
        <w:spacing w:after="113"/>
        <w:jc w:val="center"/>
        <w:rPr>
          <w:rFonts w:ascii="Times New Roman" w:eastAsiaTheme="minorEastAsia" w:hAnsi="Times New Roman" w:cs="Times New Roman"/>
          <w:vertAlign w:val="superscript"/>
          <w:lang w:val="en-GB"/>
        </w:rPr>
      </w:pPr>
      <w:r>
        <w:rPr>
          <w:rFonts w:ascii="Times New Roman" w:eastAsiaTheme="minorEastAsia" w:hAnsi="Times New Roman" w:cs="Times New Roman"/>
          <w:lang w:val="en-GB"/>
        </w:rPr>
        <w:t xml:space="preserve">Nurzhan Maldenov, </w:t>
      </w:r>
      <w:r w:rsidR="00E82787" w:rsidRPr="00E82787">
        <w:rPr>
          <w:rFonts w:ascii="Times New Roman" w:eastAsiaTheme="minorEastAsia" w:hAnsi="Times New Roman" w:cs="Times New Roman"/>
          <w:lang w:val="en-GB"/>
        </w:rPr>
        <w:t xml:space="preserve">T. Kenzhekhanov, </w:t>
      </w:r>
      <w:r w:rsidR="00A10272" w:rsidRPr="00E82787">
        <w:rPr>
          <w:rFonts w:ascii="Times New Roman" w:eastAsiaTheme="minorEastAsia" w:hAnsi="Times New Roman" w:cs="Times New Roman"/>
          <w:lang w:val="en-GB"/>
        </w:rPr>
        <w:t>A. Zhalgas</w:t>
      </w:r>
      <w:r w:rsidR="00A10272" w:rsidRPr="00E82787">
        <w:rPr>
          <w:rFonts w:ascii="Times New Roman" w:eastAsiaTheme="minorEastAsia" w:hAnsi="Times New Roman" w:cs="Times New Roman"/>
          <w:vertAlign w:val="superscript"/>
          <w:lang w:val="en-GB"/>
        </w:rPr>
        <w:t>1</w:t>
      </w:r>
      <w:r w:rsidR="00A10272" w:rsidRPr="00E82787">
        <w:rPr>
          <w:rFonts w:ascii="Times New Roman" w:eastAsiaTheme="minorEastAsia" w:hAnsi="Times New Roman" w:cs="Times New Roman"/>
          <w:lang w:val="en-GB"/>
        </w:rPr>
        <w:t>,</w:t>
      </w:r>
      <w:r w:rsidR="00E82787" w:rsidRPr="00E82787">
        <w:rPr>
          <w:rFonts w:ascii="Times New Roman" w:eastAsiaTheme="minorEastAsia" w:hAnsi="Times New Roman" w:cs="Times New Roman"/>
          <w:lang w:val="en-GB"/>
        </w:rPr>
        <w:t xml:space="preserve"> </w:t>
      </w:r>
      <w:r>
        <w:rPr>
          <w:rFonts w:ascii="Times New Roman" w:eastAsiaTheme="minorEastAsia" w:hAnsi="Times New Roman" w:cs="Times New Roman"/>
          <w:lang w:val="en-GB"/>
        </w:rPr>
        <w:t>XH.</w:t>
      </w:r>
      <w:r w:rsidR="004D7C31" w:rsidRPr="00E82787">
        <w:rPr>
          <w:rFonts w:ascii="Times New Roman" w:eastAsiaTheme="minorEastAsia" w:hAnsi="Times New Roman" w:cs="Times New Roman"/>
          <w:lang w:val="en-GB"/>
        </w:rPr>
        <w:t xml:space="preserve"> Su</w:t>
      </w:r>
      <w:r w:rsidR="004D7C31" w:rsidRPr="00E82787">
        <w:rPr>
          <w:rFonts w:ascii="Times New Roman" w:eastAsiaTheme="minorEastAsia" w:hAnsi="Times New Roman" w:cs="Times New Roman"/>
          <w:vertAlign w:val="superscript"/>
          <w:lang w:val="en-GB"/>
        </w:rPr>
        <w:t>2</w:t>
      </w:r>
      <w:r w:rsidR="00E82787" w:rsidRPr="00E82787">
        <w:rPr>
          <w:rFonts w:ascii="Times New Roman" w:eastAsiaTheme="minorEastAsia" w:hAnsi="Times New Roman" w:cs="Times New Roman"/>
          <w:lang w:val="en-GB"/>
        </w:rPr>
        <w:t xml:space="preserve">, S. </w:t>
      </w:r>
      <w:r w:rsidR="00E82787" w:rsidRPr="00C85AFA">
        <w:rPr>
          <w:rFonts w:ascii="Times New Roman" w:eastAsiaTheme="minorEastAsia" w:hAnsi="Times New Roman" w:cs="Times New Roman"/>
          <w:lang w:val="en-GB"/>
        </w:rPr>
        <w:t>Sumbekova</w:t>
      </w:r>
      <w:r w:rsidR="00E82787" w:rsidRPr="00C85AFA">
        <w:rPr>
          <w:rFonts w:ascii="Times New Roman" w:eastAsiaTheme="minorEastAsia" w:hAnsi="Times New Roman" w:cs="Times New Roman"/>
          <w:vertAlign w:val="superscript"/>
          <w:lang w:val="en-GB"/>
        </w:rPr>
        <w:t>1</w:t>
      </w:r>
      <w:r>
        <w:rPr>
          <w:rFonts w:ascii="Times New Roman" w:eastAsiaTheme="minorEastAsia" w:hAnsi="Times New Roman" w:cs="Times New Roman"/>
          <w:lang w:val="en-GB"/>
        </w:rPr>
        <w:t xml:space="preserve">, </w:t>
      </w:r>
      <w:r w:rsidR="00E82787" w:rsidRPr="00C85AFA">
        <w:rPr>
          <w:rFonts w:ascii="Times New Roman" w:eastAsiaTheme="minorEastAsia" w:hAnsi="Times New Roman" w:cs="Times New Roman"/>
          <w:lang w:val="en-GB"/>
        </w:rPr>
        <w:t>Y</w:t>
      </w:r>
      <w:r w:rsidR="00E82787" w:rsidRPr="00E82787">
        <w:rPr>
          <w:rFonts w:ascii="Times New Roman" w:eastAsiaTheme="minorEastAsia" w:hAnsi="Times New Roman" w:cs="Times New Roman"/>
          <w:lang w:val="en-GB"/>
        </w:rPr>
        <w:t xml:space="preserve">. </w:t>
      </w:r>
      <w:r w:rsidR="00E82787" w:rsidRPr="006C27F3">
        <w:rPr>
          <w:rFonts w:ascii="Times New Roman" w:eastAsiaTheme="minorEastAsia" w:hAnsi="Times New Roman" w:cs="Times New Roman"/>
          <w:lang w:val="en-GB"/>
        </w:rPr>
        <w:t>Zhao</w:t>
      </w:r>
      <w:r w:rsidR="00E82787" w:rsidRPr="006C27F3">
        <w:rPr>
          <w:rFonts w:ascii="Times New Roman" w:eastAsiaTheme="minorEastAsia" w:hAnsi="Times New Roman" w:cs="Times New Roman"/>
          <w:vertAlign w:val="superscript"/>
          <w:lang w:val="en-GB"/>
        </w:rPr>
        <w:t>1</w:t>
      </w:r>
    </w:p>
    <w:p w:rsidR="00A10272" w:rsidRPr="006C27F3" w:rsidRDefault="00A10272" w:rsidP="00A10272">
      <w:pPr>
        <w:spacing w:after="113"/>
        <w:jc w:val="center"/>
        <w:rPr>
          <w:rFonts w:ascii="Times New Roman" w:eastAsiaTheme="minorEastAsia" w:hAnsi="Times New Roman" w:cs="Times New Roman"/>
          <w:lang w:val="en-GB"/>
        </w:rPr>
      </w:pPr>
    </w:p>
    <w:p w:rsidR="00A10272" w:rsidRDefault="00A10272" w:rsidP="00A10272">
      <w:pPr>
        <w:pStyle w:val="Addresses"/>
        <w:spacing w:after="240"/>
        <w:ind w:left="0"/>
      </w:pPr>
      <w:r>
        <w:rPr>
          <w:vertAlign w:val="superscript"/>
        </w:rPr>
        <w:t xml:space="preserve">1 </w:t>
      </w:r>
      <w:r w:rsidRPr="00260E0E">
        <w:t>Department of Mechanical</w:t>
      </w:r>
      <w:r>
        <w:t xml:space="preserve"> and Aerospace</w:t>
      </w:r>
      <w:r w:rsidRPr="00260E0E">
        <w:t xml:space="preserve"> Engineering, School of Engineering, Nazarbayev University, Astana 010000, Republic of Kazakhstan</w:t>
      </w:r>
    </w:p>
    <w:p w:rsidR="004D7C31" w:rsidRDefault="004D7C31" w:rsidP="00A10272">
      <w:pPr>
        <w:pStyle w:val="Addresses"/>
        <w:spacing w:after="240"/>
        <w:ind w:left="0"/>
      </w:pPr>
      <w:r w:rsidRPr="004D7C31">
        <w:rPr>
          <w:vertAlign w:val="superscript"/>
        </w:rPr>
        <w:t>2</w:t>
      </w:r>
      <w:r w:rsidR="00573B18" w:rsidRPr="00573B18">
        <w:t>School of Hydraulic Engineering</w:t>
      </w:r>
      <w:r>
        <w:t>, Dalian University of Technology, Dalian, PR China</w:t>
      </w:r>
    </w:p>
    <w:p w:rsidR="00A10272" w:rsidRDefault="00A10272" w:rsidP="00A10272">
      <w:pPr>
        <w:pStyle w:val="Addresses"/>
        <w:spacing w:after="240"/>
        <w:ind w:left="0"/>
        <w:rPr>
          <w:rStyle w:val="Hyperlink"/>
          <w:shd w:val="clear" w:color="auto" w:fill="FFFFFF"/>
          <w:lang w:val="en-US"/>
        </w:rPr>
      </w:pPr>
      <w:r w:rsidRPr="00260E0E">
        <w:rPr>
          <w:lang w:val="en-US"/>
        </w:rPr>
        <w:t xml:space="preserve">Email: </w:t>
      </w:r>
      <w:r w:rsidR="00AC701D">
        <w:rPr>
          <w:u w:val="single"/>
          <w:lang w:val="en-US"/>
        </w:rPr>
        <w:t>yong.zhao</w:t>
      </w:r>
      <w:r w:rsidR="00871142" w:rsidRPr="00871142">
        <w:rPr>
          <w:u w:val="single"/>
          <w:lang w:val="en-US"/>
        </w:rPr>
        <w:t>@</w:t>
      </w:r>
      <w:r w:rsidRPr="00871142">
        <w:rPr>
          <w:rStyle w:val="Hyperlink"/>
          <w:color w:val="auto"/>
          <w:shd w:val="clear" w:color="auto" w:fill="FFFFFF"/>
          <w:lang w:val="en-US"/>
        </w:rPr>
        <w:t>nu.edu.kz</w:t>
      </w:r>
    </w:p>
    <w:p w:rsidR="00A10272" w:rsidRDefault="00A10272" w:rsidP="00A10272">
      <w:pPr>
        <w:pStyle w:val="Addresses"/>
        <w:spacing w:after="240"/>
        <w:ind w:left="0" w:firstLine="720"/>
        <w:rPr>
          <w:rStyle w:val="Hyperlink"/>
          <w:b/>
          <w:color w:val="auto"/>
          <w:sz w:val="28"/>
          <w:u w:val="none"/>
          <w:shd w:val="clear" w:color="auto" w:fill="FFFFFF"/>
          <w:lang w:val="en-US"/>
        </w:rPr>
      </w:pPr>
      <w:r w:rsidRPr="00A10272">
        <w:rPr>
          <w:rStyle w:val="Hyperlink"/>
          <w:b/>
          <w:color w:val="auto"/>
          <w:sz w:val="28"/>
          <w:u w:val="none"/>
          <w:shd w:val="clear" w:color="auto" w:fill="FFFFFF"/>
          <w:lang w:val="en-US"/>
        </w:rPr>
        <w:t>Abstract</w:t>
      </w:r>
    </w:p>
    <w:p w:rsidR="00A10272" w:rsidRDefault="00A10272" w:rsidP="00A10272">
      <w:pPr>
        <w:pStyle w:val="Addresses"/>
        <w:spacing w:after="240"/>
        <w:ind w:left="0" w:firstLine="720"/>
        <w:jc w:val="both"/>
        <w:rPr>
          <w:rFonts w:eastAsia="Times New Roman"/>
          <w:sz w:val="28"/>
          <w:szCs w:val="24"/>
          <w:lang w:val="en-US"/>
        </w:rPr>
      </w:pPr>
      <w:r w:rsidRPr="00A10272">
        <w:rPr>
          <w:rFonts w:eastAsia="Times New Roman"/>
          <w:sz w:val="28"/>
          <w:szCs w:val="24"/>
          <w:lang w:val="en-US"/>
        </w:rPr>
        <w:t>According to World Health Organization the mortality rate due to cardiovascular diseases in the Republic of Kazakhstan is 54%, which is 2 times</w:t>
      </w:r>
      <w:r>
        <w:rPr>
          <w:rFonts w:eastAsia="Times New Roman"/>
          <w:sz w:val="28"/>
          <w:szCs w:val="24"/>
          <w:lang w:val="en-US"/>
        </w:rPr>
        <w:t xml:space="preserve"> higher</w:t>
      </w:r>
      <w:r w:rsidRPr="00A10272">
        <w:rPr>
          <w:rFonts w:eastAsia="Times New Roman"/>
          <w:sz w:val="28"/>
          <w:szCs w:val="24"/>
          <w:lang w:val="en-US"/>
        </w:rPr>
        <w:t xml:space="preserve"> than European countries (867.9 versus 448.0 per 1</w:t>
      </w:r>
      <w:r>
        <w:rPr>
          <w:rFonts w:eastAsia="Times New Roman"/>
          <w:sz w:val="28"/>
          <w:szCs w:val="24"/>
          <w:lang w:val="en-US"/>
        </w:rPr>
        <w:t>00,000 people, respectively)</w:t>
      </w:r>
      <w:r w:rsidRPr="00A10272">
        <w:rPr>
          <w:rFonts w:eastAsia="Times New Roman"/>
          <w:sz w:val="28"/>
          <w:szCs w:val="24"/>
          <w:lang w:val="en-US"/>
        </w:rPr>
        <w:t>. There is an association of major cardiovascular events with Coronary Artery Disease (CAD) which causes 15.9 % of total death cases.</w:t>
      </w:r>
      <w:r w:rsidRPr="00A10272">
        <w:rPr>
          <w:rFonts w:eastAsia="Times New Roman"/>
          <w:i/>
          <w:sz w:val="28"/>
          <w:szCs w:val="24"/>
          <w:lang w:val="en-US"/>
        </w:rPr>
        <w:t xml:space="preserve"> </w:t>
      </w:r>
      <w:r w:rsidRPr="00A10272">
        <w:rPr>
          <w:rFonts w:eastAsia="Times New Roman"/>
          <w:sz w:val="28"/>
          <w:szCs w:val="24"/>
          <w:lang w:val="en-US"/>
        </w:rPr>
        <w:t xml:space="preserve">CAD is a result of insufficiency of blood supply in myocardium due to atherosclerosis which is a disease of the vessel wall. </w:t>
      </w:r>
      <w:bookmarkStart w:id="0" w:name="_3znysh7" w:colFirst="0" w:colLast="0"/>
      <w:bookmarkEnd w:id="0"/>
    </w:p>
    <w:p w:rsidR="00AC701D" w:rsidRDefault="00335A49" w:rsidP="00FD179D">
      <w:pPr>
        <w:pStyle w:val="Addresses"/>
        <w:spacing w:after="240"/>
        <w:ind w:left="0" w:firstLine="720"/>
        <w:jc w:val="both"/>
        <w:rPr>
          <w:rFonts w:eastAsia="Times New Roman"/>
          <w:sz w:val="28"/>
          <w:szCs w:val="24"/>
          <w:lang w:val="en-US"/>
        </w:rPr>
      </w:pPr>
      <w:r w:rsidRPr="00335A49">
        <w:rPr>
          <w:rFonts w:eastAsia="Times New Roman"/>
          <w:sz w:val="28"/>
          <w:szCs w:val="24"/>
          <w:lang w:val="en-US"/>
        </w:rPr>
        <w:t xml:space="preserve">In this context, </w:t>
      </w:r>
      <w:r w:rsidR="00AC701D">
        <w:rPr>
          <w:rFonts w:eastAsia="Times New Roman"/>
          <w:sz w:val="28"/>
          <w:szCs w:val="24"/>
          <w:lang w:val="en-US"/>
        </w:rPr>
        <w:t xml:space="preserve">there is an urgent need to develop accurate and fast diagnostic tools to tackle CAD. Traditional methods involve the use of CT images for qualitative diagnosis, or Invasive Coronary Angiography (ICA) for quantitative diagnosis. The former is unreliable and the latter is very harmful and too expensive. Computational Fluid Dynamics (CFD) holds the promise </w:t>
      </w:r>
      <w:r w:rsidR="00FD179D">
        <w:rPr>
          <w:rFonts w:eastAsia="Times New Roman"/>
          <w:sz w:val="28"/>
          <w:szCs w:val="24"/>
          <w:lang w:val="en-US"/>
        </w:rPr>
        <w:t xml:space="preserve">of being a faster and cheaper alternative to ICA. But it is not easy to prescribe the hemodynamic boundary conditions for coronary artery trees for CFD simulations as their many branches have outflow boundaries whose conditions cannot be fully studied easily as they are too small, let along personalized conditions for individual patients. </w:t>
      </w:r>
    </w:p>
    <w:p w:rsidR="00C30196" w:rsidRDefault="00FD179D" w:rsidP="00C30196">
      <w:pPr>
        <w:pStyle w:val="Addresses"/>
        <w:spacing w:after="240"/>
        <w:ind w:left="0" w:firstLine="720"/>
        <w:jc w:val="both"/>
        <w:rPr>
          <w:rFonts w:eastAsia="Times New Roman"/>
          <w:sz w:val="28"/>
          <w:szCs w:val="24"/>
          <w:lang w:val="en-US"/>
        </w:rPr>
      </w:pPr>
      <w:r>
        <w:rPr>
          <w:rFonts w:eastAsia="Times New Roman"/>
          <w:sz w:val="28"/>
          <w:szCs w:val="24"/>
          <w:lang w:val="en-US"/>
        </w:rPr>
        <w:t>T</w:t>
      </w:r>
      <w:r w:rsidR="00335A49" w:rsidRPr="001E78FB">
        <w:rPr>
          <w:sz w:val="28"/>
          <w:szCs w:val="28"/>
        </w:rPr>
        <w:t xml:space="preserve">he methodology </w:t>
      </w:r>
      <w:r w:rsidR="00335A49">
        <w:rPr>
          <w:sz w:val="28"/>
          <w:szCs w:val="28"/>
        </w:rPr>
        <w:t xml:space="preserve">proposed in this paper </w:t>
      </w:r>
      <w:r>
        <w:rPr>
          <w:sz w:val="28"/>
          <w:szCs w:val="28"/>
        </w:rPr>
        <w:t xml:space="preserve">aims </w:t>
      </w:r>
      <w:r w:rsidR="00335A49" w:rsidRPr="00335A49">
        <w:rPr>
          <w:rFonts w:eastAsia="Times New Roman"/>
          <w:sz w:val="28"/>
          <w:szCs w:val="24"/>
          <w:lang w:val="en-US"/>
        </w:rPr>
        <w:t xml:space="preserve">to </w:t>
      </w:r>
      <w:r>
        <w:rPr>
          <w:rFonts w:eastAsia="Times New Roman"/>
          <w:sz w:val="28"/>
          <w:szCs w:val="24"/>
          <w:lang w:val="en-US"/>
        </w:rPr>
        <w:t xml:space="preserve">provide a solution to the above mentioned difficulty, which can provide </w:t>
      </w:r>
      <w:r w:rsidR="00335A49" w:rsidRPr="00335A49">
        <w:rPr>
          <w:rFonts w:eastAsia="Times New Roman"/>
          <w:sz w:val="28"/>
          <w:szCs w:val="24"/>
          <w:lang w:val="en-US"/>
        </w:rPr>
        <w:t xml:space="preserve">realistic </w:t>
      </w:r>
      <w:r>
        <w:rPr>
          <w:rFonts w:eastAsia="Times New Roman"/>
          <w:sz w:val="28"/>
          <w:szCs w:val="24"/>
          <w:lang w:val="en-US"/>
        </w:rPr>
        <w:t xml:space="preserve">outflow </w:t>
      </w:r>
      <w:r w:rsidR="00335A49" w:rsidRPr="00335A49">
        <w:rPr>
          <w:rFonts w:eastAsia="Times New Roman"/>
          <w:sz w:val="28"/>
          <w:szCs w:val="24"/>
          <w:lang w:val="en-US"/>
        </w:rPr>
        <w:t xml:space="preserve">boundary conditions in </w:t>
      </w:r>
      <w:r w:rsidR="00525F58">
        <w:rPr>
          <w:rFonts w:eastAsia="Times New Roman"/>
          <w:sz w:val="28"/>
          <w:szCs w:val="24"/>
          <w:lang w:val="en-US"/>
        </w:rPr>
        <w:t xml:space="preserve">the </w:t>
      </w:r>
      <w:r w:rsidR="00335A49" w:rsidRPr="00335A49">
        <w:rPr>
          <w:rFonts w:eastAsia="Times New Roman"/>
          <w:sz w:val="28"/>
          <w:szCs w:val="24"/>
          <w:lang w:val="en-US"/>
        </w:rPr>
        <w:t xml:space="preserve">absence of measured data, based on an extension of </w:t>
      </w:r>
      <w:r>
        <w:rPr>
          <w:rFonts w:eastAsia="Times New Roman"/>
          <w:sz w:val="28"/>
          <w:szCs w:val="24"/>
          <w:lang w:val="en-US"/>
        </w:rPr>
        <w:t xml:space="preserve">the </w:t>
      </w:r>
      <w:r w:rsidR="00335A49" w:rsidRPr="00335A49">
        <w:rPr>
          <w:rFonts w:eastAsia="Times New Roman"/>
          <w:sz w:val="28"/>
          <w:szCs w:val="24"/>
          <w:lang w:val="en-US"/>
        </w:rPr>
        <w:t xml:space="preserve">Murray’s law and </w:t>
      </w:r>
      <w:r w:rsidR="00525F58">
        <w:rPr>
          <w:rFonts w:eastAsia="Times New Roman"/>
          <w:sz w:val="28"/>
          <w:szCs w:val="24"/>
          <w:lang w:val="en-US"/>
        </w:rPr>
        <w:t>e</w:t>
      </w:r>
      <w:r>
        <w:rPr>
          <w:rFonts w:eastAsia="Times New Roman"/>
          <w:sz w:val="28"/>
          <w:szCs w:val="24"/>
          <w:lang w:val="en-US"/>
        </w:rPr>
        <w:t>xtra inlet conditions</w:t>
      </w:r>
      <w:r w:rsidR="00335A49" w:rsidRPr="00335A49">
        <w:rPr>
          <w:rFonts w:eastAsia="Times New Roman"/>
          <w:sz w:val="28"/>
          <w:szCs w:val="24"/>
          <w:lang w:val="en-US"/>
        </w:rPr>
        <w:t>.</w:t>
      </w:r>
      <w:r w:rsidR="00D3635E">
        <w:rPr>
          <w:rFonts w:eastAsia="Times New Roman"/>
          <w:sz w:val="28"/>
          <w:szCs w:val="24"/>
          <w:lang w:val="en-US"/>
        </w:rPr>
        <w:t xml:space="preserve"> Vascular </w:t>
      </w:r>
      <w:r w:rsidR="0045711A">
        <w:rPr>
          <w:rFonts w:eastAsia="Times New Roman"/>
          <w:sz w:val="28"/>
          <w:szCs w:val="24"/>
          <w:lang w:val="en-US"/>
        </w:rPr>
        <w:t>systems obeys Murray’</w:t>
      </w:r>
      <w:r w:rsidR="00D3635E">
        <w:rPr>
          <w:rFonts w:eastAsia="Times New Roman"/>
          <w:sz w:val="28"/>
          <w:szCs w:val="24"/>
          <w:lang w:val="en-US"/>
        </w:rPr>
        <w:t xml:space="preserve">s law, which </w:t>
      </w:r>
      <w:r w:rsidR="00686B78">
        <w:rPr>
          <w:rFonts w:eastAsia="Times New Roman"/>
          <w:sz w:val="28"/>
          <w:szCs w:val="24"/>
          <w:lang w:val="en-US"/>
        </w:rPr>
        <w:t>state</w:t>
      </w:r>
      <w:r w:rsidR="0045711A">
        <w:rPr>
          <w:rFonts w:eastAsia="Times New Roman"/>
          <w:sz w:val="28"/>
          <w:szCs w:val="24"/>
          <w:lang w:val="en-US"/>
        </w:rPr>
        <w:t xml:space="preserve">s that </w:t>
      </w:r>
      <w:r w:rsidR="00686B78">
        <w:rPr>
          <w:rFonts w:eastAsia="Times New Roman"/>
          <w:sz w:val="28"/>
          <w:szCs w:val="24"/>
          <w:lang w:val="en-US"/>
        </w:rPr>
        <w:t xml:space="preserve">the flow rate is directly related to </w:t>
      </w:r>
      <w:r w:rsidR="0045711A">
        <w:rPr>
          <w:rFonts w:eastAsia="Times New Roman"/>
          <w:sz w:val="28"/>
          <w:szCs w:val="24"/>
          <w:lang w:val="en-US"/>
        </w:rPr>
        <w:t xml:space="preserve">the cube of the </w:t>
      </w:r>
      <w:r w:rsidR="00686B78">
        <w:rPr>
          <w:rFonts w:eastAsia="Times New Roman"/>
          <w:sz w:val="28"/>
          <w:szCs w:val="24"/>
          <w:lang w:val="en-US"/>
        </w:rPr>
        <w:t xml:space="preserve">diameter </w:t>
      </w:r>
      <w:r w:rsidR="0045711A">
        <w:rPr>
          <w:rFonts w:eastAsia="Times New Roman"/>
          <w:sz w:val="28"/>
          <w:szCs w:val="24"/>
          <w:lang w:val="en-US"/>
        </w:rPr>
        <w:t xml:space="preserve">of a vessel </w:t>
      </w:r>
      <w:r w:rsidR="00686B78">
        <w:rPr>
          <w:rFonts w:eastAsia="Times New Roman"/>
          <w:sz w:val="28"/>
          <w:szCs w:val="24"/>
          <w:lang w:val="en-US"/>
        </w:rPr>
        <w:t>for minimum energy consumption for blood flow</w:t>
      </w:r>
      <w:r w:rsidR="0045711A">
        <w:rPr>
          <w:rFonts w:eastAsia="Times New Roman"/>
          <w:sz w:val="28"/>
          <w:szCs w:val="24"/>
          <w:lang w:val="en-US"/>
        </w:rPr>
        <w:t xml:space="preserve">. </w:t>
      </w:r>
      <w:r>
        <w:rPr>
          <w:rFonts w:eastAsia="Times New Roman"/>
          <w:sz w:val="28"/>
          <w:szCs w:val="24"/>
          <w:lang w:val="en-US"/>
        </w:rPr>
        <w:t>Thus a</w:t>
      </w:r>
      <w:r w:rsidR="0045711A">
        <w:rPr>
          <w:rFonts w:eastAsia="Times New Roman"/>
          <w:sz w:val="28"/>
          <w:szCs w:val="24"/>
          <w:lang w:val="en-US"/>
        </w:rPr>
        <w:t xml:space="preserve"> functional relationship exists between ves</w:t>
      </w:r>
      <w:r>
        <w:rPr>
          <w:rFonts w:eastAsia="Times New Roman"/>
          <w:sz w:val="28"/>
          <w:szCs w:val="24"/>
          <w:lang w:val="en-US"/>
        </w:rPr>
        <w:t xml:space="preserve">sel </w:t>
      </w:r>
      <w:r w:rsidR="00686B78">
        <w:rPr>
          <w:rFonts w:eastAsia="Times New Roman"/>
          <w:sz w:val="28"/>
          <w:szCs w:val="24"/>
          <w:lang w:val="en-US"/>
        </w:rPr>
        <w:t>diameter</w:t>
      </w:r>
      <w:r>
        <w:rPr>
          <w:rFonts w:eastAsia="Times New Roman"/>
          <w:sz w:val="28"/>
          <w:szCs w:val="24"/>
          <w:lang w:val="en-US"/>
        </w:rPr>
        <w:t xml:space="preserve"> and volumetric flow </w:t>
      </w:r>
      <w:r w:rsidR="0045711A">
        <w:rPr>
          <w:rFonts w:eastAsia="Times New Roman"/>
          <w:sz w:val="28"/>
          <w:szCs w:val="24"/>
          <w:lang w:val="en-US"/>
        </w:rPr>
        <w:t xml:space="preserve">in individual </w:t>
      </w:r>
      <w:r w:rsidR="00D3635E">
        <w:rPr>
          <w:rFonts w:eastAsia="Times New Roman"/>
          <w:sz w:val="28"/>
          <w:szCs w:val="24"/>
          <w:lang w:val="en-US"/>
        </w:rPr>
        <w:t>vessels.</w:t>
      </w:r>
      <w:r>
        <w:rPr>
          <w:rFonts w:eastAsia="Times New Roman"/>
          <w:sz w:val="28"/>
          <w:szCs w:val="24"/>
          <w:lang w:val="en-US"/>
        </w:rPr>
        <w:t xml:space="preserve"> An iterative scheme is thus proposed to couple the Murray’s law with CFD simulation to search for the converged outlet flow conditions for all the exits of a coronary tree for given inlet pressure and volumetric flow rate.</w:t>
      </w:r>
    </w:p>
    <w:p w:rsidR="009F65A6" w:rsidRDefault="006320A0" w:rsidP="00C30196">
      <w:pPr>
        <w:pStyle w:val="Addresses"/>
        <w:spacing w:after="240"/>
        <w:ind w:left="0" w:firstLine="720"/>
        <w:jc w:val="both"/>
        <w:rPr>
          <w:rFonts w:eastAsia="Times New Roman"/>
          <w:sz w:val="28"/>
          <w:szCs w:val="24"/>
          <w:lang w:val="en-US"/>
        </w:rPr>
      </w:pPr>
      <w:r>
        <w:rPr>
          <w:rFonts w:eastAsia="Times New Roman"/>
          <w:sz w:val="28"/>
          <w:szCs w:val="24"/>
          <w:lang w:val="en-US"/>
        </w:rPr>
        <w:lastRenderedPageBreak/>
        <w:t>In</w:t>
      </w:r>
      <w:r w:rsidR="00D3635E" w:rsidRPr="00335A49">
        <w:rPr>
          <w:rFonts w:eastAsia="Times New Roman"/>
          <w:sz w:val="28"/>
          <w:szCs w:val="24"/>
          <w:lang w:val="en-US"/>
        </w:rPr>
        <w:t xml:space="preserve"> this work </w:t>
      </w:r>
      <w:r>
        <w:rPr>
          <w:rFonts w:eastAsia="Times New Roman"/>
          <w:sz w:val="28"/>
          <w:szCs w:val="24"/>
          <w:lang w:val="en-US"/>
        </w:rPr>
        <w:t xml:space="preserve">the above-mentioned method has been implemented in both ANSYS-CFX and </w:t>
      </w:r>
      <w:proofErr w:type="spellStart"/>
      <w:r>
        <w:rPr>
          <w:rFonts w:eastAsia="Times New Roman"/>
          <w:sz w:val="28"/>
          <w:szCs w:val="24"/>
          <w:lang w:val="en-US"/>
        </w:rPr>
        <w:t>SimVascular</w:t>
      </w:r>
      <w:proofErr w:type="spellEnd"/>
      <w:r w:rsidRPr="00335A49">
        <w:rPr>
          <w:rFonts w:eastAsia="Times New Roman"/>
          <w:sz w:val="28"/>
          <w:szCs w:val="24"/>
          <w:lang w:val="en-US"/>
        </w:rPr>
        <w:t xml:space="preserve"> </w:t>
      </w:r>
      <w:r>
        <w:rPr>
          <w:rFonts w:eastAsia="Times New Roman"/>
          <w:sz w:val="28"/>
          <w:szCs w:val="24"/>
          <w:lang w:val="en-US"/>
        </w:rPr>
        <w:t xml:space="preserve">and </w:t>
      </w:r>
      <w:r w:rsidR="00D3635E" w:rsidRPr="00335A49">
        <w:rPr>
          <w:rFonts w:eastAsia="Times New Roman"/>
          <w:sz w:val="28"/>
          <w:szCs w:val="24"/>
          <w:lang w:val="en-US"/>
        </w:rPr>
        <w:t xml:space="preserve">to perform computational study of the </w:t>
      </w:r>
      <w:r>
        <w:rPr>
          <w:rFonts w:eastAsia="Times New Roman"/>
          <w:sz w:val="28"/>
          <w:szCs w:val="24"/>
          <w:lang w:val="en-US"/>
        </w:rPr>
        <w:t xml:space="preserve">hemodynamics </w:t>
      </w:r>
      <w:r w:rsidR="00525F58">
        <w:rPr>
          <w:rFonts w:eastAsia="Times New Roman"/>
          <w:sz w:val="28"/>
          <w:szCs w:val="24"/>
          <w:lang w:val="en-US"/>
        </w:rPr>
        <w:t>in</w:t>
      </w:r>
      <w:r w:rsidR="00D3635E" w:rsidRPr="00335A49">
        <w:rPr>
          <w:rFonts w:eastAsia="Times New Roman"/>
          <w:sz w:val="28"/>
          <w:szCs w:val="24"/>
          <w:lang w:val="en-US"/>
        </w:rPr>
        <w:t xml:space="preserve"> </w:t>
      </w:r>
      <w:r>
        <w:rPr>
          <w:rFonts w:eastAsia="Times New Roman"/>
          <w:sz w:val="28"/>
          <w:szCs w:val="24"/>
          <w:lang w:val="en-US"/>
        </w:rPr>
        <w:t xml:space="preserve">a number of </w:t>
      </w:r>
      <w:r w:rsidR="00D3635E" w:rsidRPr="00335A49">
        <w:rPr>
          <w:rFonts w:eastAsia="Times New Roman"/>
          <w:sz w:val="28"/>
          <w:szCs w:val="24"/>
          <w:lang w:val="en-US"/>
        </w:rPr>
        <w:t xml:space="preserve">patient specific geometries with the aim of </w:t>
      </w:r>
      <w:r>
        <w:rPr>
          <w:rFonts w:eastAsia="Times New Roman"/>
          <w:sz w:val="28"/>
          <w:szCs w:val="24"/>
          <w:lang w:val="en-US"/>
        </w:rPr>
        <w:t xml:space="preserve">validating the method using related ICA measurements, such as </w:t>
      </w:r>
      <w:r w:rsidR="00686B78">
        <w:rPr>
          <w:rFonts w:eastAsia="Times New Roman"/>
          <w:sz w:val="28"/>
          <w:szCs w:val="24"/>
          <w:lang w:val="en-US"/>
        </w:rPr>
        <w:t xml:space="preserve">inlet flow rate and pressure and </w:t>
      </w:r>
      <w:r>
        <w:rPr>
          <w:rFonts w:eastAsia="Times New Roman"/>
          <w:sz w:val="28"/>
          <w:szCs w:val="24"/>
          <w:lang w:val="en-US"/>
        </w:rPr>
        <w:t>FFR</w:t>
      </w:r>
      <w:r w:rsidRPr="006320A0">
        <w:rPr>
          <w:rFonts w:eastAsia="Times New Roman"/>
          <w:sz w:val="28"/>
          <w:szCs w:val="24"/>
          <w:vertAlign w:val="subscript"/>
          <w:lang w:val="en-US"/>
        </w:rPr>
        <w:t>ICA</w:t>
      </w:r>
      <w:r>
        <w:rPr>
          <w:rFonts w:eastAsia="Times New Roman"/>
          <w:sz w:val="28"/>
          <w:szCs w:val="24"/>
          <w:lang w:val="en-US"/>
        </w:rPr>
        <w:t xml:space="preserve">. Results obtained show that the method is accurate, easy to implement and fast, compared with existing methods such as lumped parameter models and iterative flow resistance models. </w:t>
      </w:r>
      <w:r w:rsidR="00686B78">
        <w:rPr>
          <w:rFonts w:eastAsia="Times New Roman"/>
          <w:sz w:val="28"/>
          <w:szCs w:val="24"/>
          <w:lang w:val="en-US"/>
        </w:rPr>
        <w:t>For future work, it will be further extended for 4D unsteady CFD simulation</w:t>
      </w:r>
      <w:r w:rsidR="00525F58">
        <w:rPr>
          <w:rFonts w:eastAsia="Times New Roman"/>
          <w:sz w:val="28"/>
          <w:szCs w:val="24"/>
          <w:lang w:val="en-US"/>
        </w:rPr>
        <w:t xml:space="preserve"> and it can also be used to help estimate resistances and capacitances in the lumped parameter model</w:t>
      </w:r>
      <w:r w:rsidR="00686B78">
        <w:rPr>
          <w:rFonts w:eastAsia="Times New Roman"/>
          <w:sz w:val="28"/>
          <w:szCs w:val="24"/>
          <w:lang w:val="en-US"/>
        </w:rPr>
        <w:t xml:space="preserve">. It has the potential to become a standard method used for CFD as a diagnosis tool for CAD. </w:t>
      </w:r>
    </w:p>
    <w:p w:rsidR="00A63A96" w:rsidRPr="0045711A" w:rsidRDefault="00C85AFA">
      <w:pPr>
        <w:rPr>
          <w:lang w:val="en-US"/>
        </w:rPr>
      </w:pPr>
      <w:bookmarkStart w:id="1" w:name="_GoBack"/>
      <w:bookmarkEnd w:id="1"/>
    </w:p>
    <w:sectPr w:rsidR="00A63A96" w:rsidRPr="00457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B78"/>
    <w:rsid w:val="00137B78"/>
    <w:rsid w:val="001B0B34"/>
    <w:rsid w:val="001E1549"/>
    <w:rsid w:val="001E1654"/>
    <w:rsid w:val="002558ED"/>
    <w:rsid w:val="002D6D56"/>
    <w:rsid w:val="002E3CD4"/>
    <w:rsid w:val="00335A49"/>
    <w:rsid w:val="0045711A"/>
    <w:rsid w:val="00477742"/>
    <w:rsid w:val="0049136B"/>
    <w:rsid w:val="004D7C31"/>
    <w:rsid w:val="004F1C3C"/>
    <w:rsid w:val="004F3B54"/>
    <w:rsid w:val="005067D7"/>
    <w:rsid w:val="00525F58"/>
    <w:rsid w:val="00573B18"/>
    <w:rsid w:val="006320A0"/>
    <w:rsid w:val="00664E85"/>
    <w:rsid w:val="00686B78"/>
    <w:rsid w:val="00717E2F"/>
    <w:rsid w:val="00871142"/>
    <w:rsid w:val="0093384B"/>
    <w:rsid w:val="00954788"/>
    <w:rsid w:val="00961CB2"/>
    <w:rsid w:val="009F65A6"/>
    <w:rsid w:val="00A10272"/>
    <w:rsid w:val="00A35D6B"/>
    <w:rsid w:val="00A549A0"/>
    <w:rsid w:val="00AC701D"/>
    <w:rsid w:val="00C30196"/>
    <w:rsid w:val="00C85AFA"/>
    <w:rsid w:val="00D3635E"/>
    <w:rsid w:val="00D4076A"/>
    <w:rsid w:val="00DD73BF"/>
    <w:rsid w:val="00E701FD"/>
    <w:rsid w:val="00E82787"/>
    <w:rsid w:val="00EE59B5"/>
    <w:rsid w:val="00F44CC1"/>
    <w:rsid w:val="00FD17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2E316-BF8B-4CD1-8291-971339159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272"/>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0272"/>
    <w:rPr>
      <w:color w:val="0000FF"/>
      <w:u w:val="single"/>
    </w:rPr>
  </w:style>
  <w:style w:type="paragraph" w:customStyle="1" w:styleId="Addresses">
    <w:name w:val="Addresses"/>
    <w:rsid w:val="00A10272"/>
    <w:pPr>
      <w:spacing w:after="454" w:line="240" w:lineRule="auto"/>
      <w:ind w:left="1418"/>
    </w:pPr>
    <w:rPr>
      <w:rFonts w:ascii="Times New Roman" w:eastAsiaTheme="minorEastAsia"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585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Aidana Zhalgas</dc:creator>
  <cp:keywords/>
  <dc:description/>
  <cp:lastModifiedBy>Sholpan Sumbekova</cp:lastModifiedBy>
  <cp:revision>4</cp:revision>
  <dcterms:created xsi:type="dcterms:W3CDTF">2019-04-05T04:47:00Z</dcterms:created>
  <dcterms:modified xsi:type="dcterms:W3CDTF">2019-04-05T06:57:00Z</dcterms:modified>
</cp:coreProperties>
</file>