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18469" w14:textId="641088D1" w:rsidR="006204F2" w:rsidRPr="006F31DD" w:rsidRDefault="006204F2" w:rsidP="006204F2">
      <w:pPr>
        <w:spacing w:line="240" w:lineRule="auto"/>
        <w:rPr>
          <w:rFonts w:ascii="Tw Cen MT" w:hAnsi="Tw Cen MT" w:cs="Arial"/>
          <w:b/>
        </w:rPr>
      </w:pPr>
    </w:p>
    <w:p w14:paraId="0F506C38" w14:textId="31171567" w:rsidR="006E1127" w:rsidRPr="007B4836" w:rsidRDefault="006E1127" w:rsidP="006204F2">
      <w:pPr>
        <w:spacing w:line="240" w:lineRule="auto"/>
        <w:rPr>
          <w:rFonts w:ascii="Tw Cen MT" w:hAnsi="Tw Cen MT" w:cs="Arial"/>
          <w:b/>
          <w:sz w:val="24"/>
          <w:szCs w:val="32"/>
        </w:rPr>
      </w:pPr>
      <w:r w:rsidRPr="007B4836">
        <w:rPr>
          <w:rFonts w:ascii="Tw Cen MT" w:hAnsi="Tw Cen MT" w:cs="Arial"/>
          <w:b/>
          <w:sz w:val="24"/>
          <w:szCs w:val="32"/>
        </w:rPr>
        <w:t>C-reactive protein point-of-care testing and antibiotic prescribing for acute respiratory tract infections in rural primary health centers of Ethiopia</w:t>
      </w:r>
    </w:p>
    <w:p w14:paraId="0F56B77D" w14:textId="3FCCE956" w:rsidR="006E1127" w:rsidRPr="006F31DD" w:rsidRDefault="006E1127" w:rsidP="00305B14">
      <w:pPr>
        <w:spacing w:after="0" w:line="240" w:lineRule="auto"/>
        <w:rPr>
          <w:rFonts w:ascii="Tw Cen MT" w:hAnsi="Tw Cen MT" w:cs="Arial"/>
          <w:b/>
          <w:vertAlign w:val="superscript"/>
        </w:rPr>
      </w:pPr>
      <w:r w:rsidRPr="006F31DD">
        <w:rPr>
          <w:rFonts w:ascii="Tw Cen MT" w:hAnsi="Tw Cen MT" w:cs="Arial"/>
          <w:b/>
        </w:rPr>
        <w:t>Henock Yebyo</w:t>
      </w:r>
      <w:r w:rsidRPr="006F31DD">
        <w:rPr>
          <w:rFonts w:ascii="Tw Cen MT" w:hAnsi="Tw Cen MT" w:cs="Arial"/>
          <w:b/>
          <w:vertAlign w:val="superscript"/>
        </w:rPr>
        <w:t>1*</w:t>
      </w:r>
      <w:r w:rsidRPr="006F31DD">
        <w:rPr>
          <w:rFonts w:ascii="Tw Cen MT" w:hAnsi="Tw Cen MT" w:cs="Arial"/>
          <w:b/>
          <w:vertAlign w:val="subscript"/>
        </w:rPr>
        <w:t xml:space="preserve">, </w:t>
      </w:r>
      <w:r w:rsidRPr="006F31DD">
        <w:rPr>
          <w:rFonts w:ascii="Tw Cen MT" w:hAnsi="Tw Cen MT" w:cs="Arial"/>
          <w:b/>
        </w:rPr>
        <w:t xml:space="preserve">Araya </w:t>
      </w:r>
      <w:proofErr w:type="spellStart"/>
      <w:r w:rsidRPr="006F31DD">
        <w:rPr>
          <w:rFonts w:ascii="Tw Cen MT" w:hAnsi="Tw Cen MT" w:cs="Arial"/>
          <w:b/>
        </w:rPr>
        <w:t>Abrha</w:t>
      </w:r>
      <w:proofErr w:type="spellEnd"/>
      <w:r w:rsidRPr="006F31DD">
        <w:rPr>
          <w:rFonts w:ascii="Tw Cen MT" w:hAnsi="Tw Cen MT" w:cs="Arial"/>
          <w:b/>
        </w:rPr>
        <w:t xml:space="preserve"> Medhanyie</w:t>
      </w:r>
      <w:r w:rsidRPr="006F31DD">
        <w:rPr>
          <w:rFonts w:ascii="Tw Cen MT" w:hAnsi="Tw Cen MT" w:cs="Arial"/>
          <w:b/>
          <w:vertAlign w:val="superscript"/>
        </w:rPr>
        <w:t>1</w:t>
      </w:r>
      <w:r w:rsidRPr="006F31DD">
        <w:rPr>
          <w:rFonts w:ascii="Tw Cen MT" w:hAnsi="Tw Cen MT" w:cs="Arial"/>
          <w:b/>
        </w:rPr>
        <w:t>, Mark Spigt</w:t>
      </w:r>
      <w:r w:rsidR="00345817" w:rsidRPr="006F31DD">
        <w:rPr>
          <w:rFonts w:ascii="Tw Cen MT" w:hAnsi="Tw Cen MT" w:cs="Arial"/>
          <w:b/>
          <w:vertAlign w:val="superscript"/>
        </w:rPr>
        <w:t>2</w:t>
      </w:r>
      <w:r w:rsidRPr="006F31DD">
        <w:rPr>
          <w:rFonts w:ascii="Tw Cen MT" w:hAnsi="Tw Cen MT" w:cs="Arial"/>
          <w:b/>
        </w:rPr>
        <w:t xml:space="preserve">, </w:t>
      </w:r>
      <w:proofErr w:type="spellStart"/>
      <w:r w:rsidRPr="006F31DD">
        <w:rPr>
          <w:rFonts w:ascii="Tw Cen MT" w:hAnsi="Tw Cen MT" w:cs="Arial"/>
          <w:b/>
        </w:rPr>
        <w:t>Rogier</w:t>
      </w:r>
      <w:proofErr w:type="spellEnd"/>
      <w:r w:rsidRPr="006F31DD">
        <w:rPr>
          <w:rFonts w:ascii="Tw Cen MT" w:hAnsi="Tw Cen MT" w:cs="Arial"/>
          <w:b/>
        </w:rPr>
        <w:t xml:space="preserve"> Hopstaken</w:t>
      </w:r>
      <w:r w:rsidRPr="006F31DD">
        <w:rPr>
          <w:rFonts w:ascii="Tw Cen MT" w:hAnsi="Tw Cen MT" w:cs="Arial"/>
          <w:b/>
          <w:vertAlign w:val="superscript"/>
        </w:rPr>
        <w:t>4</w:t>
      </w:r>
    </w:p>
    <w:p w14:paraId="0CC9E339" w14:textId="77777777" w:rsidR="006E1127" w:rsidRPr="007B4836" w:rsidRDefault="006E1127" w:rsidP="00305B14">
      <w:pPr>
        <w:spacing w:after="0" w:line="240" w:lineRule="auto"/>
        <w:rPr>
          <w:rFonts w:ascii="Tw Cen MT" w:hAnsi="Tw Cen MT" w:cs="Arial"/>
          <w:sz w:val="20"/>
          <w:szCs w:val="20"/>
        </w:rPr>
      </w:pPr>
      <w:r w:rsidRPr="007B4836">
        <w:rPr>
          <w:rFonts w:ascii="Tw Cen MT" w:hAnsi="Tw Cen MT" w:cs="Arial"/>
          <w:sz w:val="20"/>
          <w:szCs w:val="20"/>
          <w:vertAlign w:val="superscript"/>
        </w:rPr>
        <w:t>1</w:t>
      </w:r>
      <w:r w:rsidRPr="007B4836">
        <w:rPr>
          <w:rFonts w:ascii="Tw Cen MT" w:hAnsi="Tw Cen MT" w:cs="Arial"/>
          <w:sz w:val="20"/>
          <w:szCs w:val="20"/>
        </w:rPr>
        <w:t xml:space="preserve"> School of Public Health, College of Health Sciences, </w:t>
      </w:r>
      <w:proofErr w:type="spellStart"/>
      <w:r w:rsidRPr="007B4836">
        <w:rPr>
          <w:rFonts w:ascii="Tw Cen MT" w:hAnsi="Tw Cen MT" w:cs="Arial"/>
          <w:sz w:val="20"/>
          <w:szCs w:val="20"/>
        </w:rPr>
        <w:t>Mekelle</w:t>
      </w:r>
      <w:proofErr w:type="spellEnd"/>
      <w:r w:rsidRPr="007B4836">
        <w:rPr>
          <w:rFonts w:ascii="Tw Cen MT" w:hAnsi="Tw Cen MT" w:cs="Arial"/>
          <w:sz w:val="20"/>
          <w:szCs w:val="20"/>
        </w:rPr>
        <w:t xml:space="preserve"> University, </w:t>
      </w:r>
      <w:proofErr w:type="spellStart"/>
      <w:r w:rsidRPr="007B4836">
        <w:rPr>
          <w:rFonts w:ascii="Tw Cen MT" w:hAnsi="Tw Cen MT" w:cs="Arial"/>
          <w:sz w:val="20"/>
          <w:szCs w:val="20"/>
        </w:rPr>
        <w:t>Mekelle</w:t>
      </w:r>
      <w:proofErr w:type="spellEnd"/>
      <w:r w:rsidRPr="007B4836">
        <w:rPr>
          <w:rFonts w:ascii="Tw Cen MT" w:hAnsi="Tw Cen MT" w:cs="Arial"/>
          <w:sz w:val="20"/>
          <w:szCs w:val="20"/>
        </w:rPr>
        <w:t xml:space="preserve">, Ethiopia </w:t>
      </w:r>
    </w:p>
    <w:p w14:paraId="381EA6A6" w14:textId="77777777" w:rsidR="006E1127" w:rsidRPr="007B4836" w:rsidRDefault="006E1127" w:rsidP="00305B14">
      <w:pPr>
        <w:spacing w:after="0" w:line="240" w:lineRule="auto"/>
        <w:rPr>
          <w:rFonts w:ascii="Tw Cen MT" w:hAnsi="Tw Cen MT" w:cs="Arial"/>
          <w:sz w:val="20"/>
          <w:szCs w:val="20"/>
        </w:rPr>
      </w:pPr>
      <w:r w:rsidRPr="007B4836">
        <w:rPr>
          <w:rFonts w:ascii="Tw Cen MT" w:hAnsi="Tw Cen MT" w:cs="Arial"/>
          <w:sz w:val="20"/>
          <w:szCs w:val="20"/>
          <w:vertAlign w:val="superscript"/>
        </w:rPr>
        <w:t>2</w:t>
      </w:r>
      <w:r w:rsidRPr="007B4836">
        <w:rPr>
          <w:rFonts w:ascii="Tw Cen MT" w:hAnsi="Tw Cen MT" w:cs="Arial"/>
          <w:sz w:val="20"/>
          <w:szCs w:val="20"/>
        </w:rPr>
        <w:t xml:space="preserve"> Department of Family Medicine, School for Public Health and Primary Care (CAPHRI), Maastricht University, Maastricht, the Netherlands</w:t>
      </w:r>
    </w:p>
    <w:p w14:paraId="362946B2" w14:textId="39C46DC9" w:rsidR="006E1127" w:rsidRPr="007B4836" w:rsidRDefault="006E1127" w:rsidP="00305B14">
      <w:pPr>
        <w:spacing w:after="0" w:line="240" w:lineRule="auto"/>
        <w:rPr>
          <w:rFonts w:ascii="Tw Cen MT" w:hAnsi="Tw Cen MT" w:cs="Arial"/>
          <w:sz w:val="20"/>
          <w:szCs w:val="20"/>
        </w:rPr>
      </w:pPr>
      <w:r w:rsidRPr="007B4836">
        <w:rPr>
          <w:rFonts w:ascii="Tw Cen MT" w:hAnsi="Tw Cen MT" w:cs="Arial"/>
          <w:sz w:val="20"/>
          <w:szCs w:val="20"/>
          <w:vertAlign w:val="superscript"/>
        </w:rPr>
        <w:t>4</w:t>
      </w:r>
      <w:r w:rsidRPr="007B4836">
        <w:rPr>
          <w:rFonts w:ascii="Tw Cen MT" w:hAnsi="Tw Cen MT" w:cs="Arial"/>
          <w:sz w:val="20"/>
          <w:szCs w:val="20"/>
        </w:rPr>
        <w:t xml:space="preserve"> </w:t>
      </w:r>
      <w:proofErr w:type="spellStart"/>
      <w:r w:rsidRPr="007B4836">
        <w:rPr>
          <w:rFonts w:ascii="Tw Cen MT" w:hAnsi="Tw Cen MT" w:cs="Arial"/>
          <w:sz w:val="20"/>
          <w:szCs w:val="20"/>
        </w:rPr>
        <w:t>Saltro</w:t>
      </w:r>
      <w:proofErr w:type="spellEnd"/>
      <w:r w:rsidRPr="007B4836">
        <w:rPr>
          <w:rFonts w:ascii="Tw Cen MT" w:hAnsi="Tw Cen MT" w:cs="Arial"/>
          <w:sz w:val="20"/>
          <w:szCs w:val="20"/>
        </w:rPr>
        <w:t xml:space="preserve"> Diagnostic </w:t>
      </w:r>
      <w:proofErr w:type="gramStart"/>
      <w:r w:rsidRPr="007B4836">
        <w:rPr>
          <w:rFonts w:ascii="Tw Cen MT" w:hAnsi="Tw Cen MT" w:cs="Arial"/>
          <w:sz w:val="20"/>
          <w:szCs w:val="20"/>
        </w:rPr>
        <w:t>Centre</w:t>
      </w:r>
      <w:proofErr w:type="gramEnd"/>
      <w:r w:rsidRPr="007B4836">
        <w:rPr>
          <w:rFonts w:ascii="Tw Cen MT" w:hAnsi="Tw Cen MT" w:cs="Arial"/>
          <w:sz w:val="20"/>
          <w:szCs w:val="20"/>
        </w:rPr>
        <w:t xml:space="preserve">, Utrecht, the Netherlands </w:t>
      </w:r>
    </w:p>
    <w:p w14:paraId="2D6360B1" w14:textId="77777777" w:rsidR="005C5FB1" w:rsidRPr="007B4836" w:rsidRDefault="005C5FB1" w:rsidP="00305B14">
      <w:pPr>
        <w:spacing w:after="0" w:line="240" w:lineRule="auto"/>
        <w:jc w:val="both"/>
        <w:rPr>
          <w:rFonts w:ascii="Tw Cen MT" w:eastAsia="ScalaLancetPro" w:hAnsi="Tw Cen MT" w:cs="Arial"/>
          <w:sz w:val="20"/>
          <w:szCs w:val="20"/>
        </w:rPr>
        <w:sectPr w:rsidR="005C5FB1" w:rsidRPr="007B4836" w:rsidSect="009E1DD3">
          <w:footerReference w:type="default" r:id="rId8"/>
          <w:pgSz w:w="11900" w:h="16840"/>
          <w:pgMar w:top="992" w:right="1134" w:bottom="992" w:left="1134" w:header="709" w:footer="709" w:gutter="0"/>
          <w:cols w:space="708"/>
          <w:docGrid w:linePitch="360"/>
        </w:sectPr>
      </w:pPr>
    </w:p>
    <w:p w14:paraId="661362D3" w14:textId="33710D45" w:rsidR="007B4836" w:rsidRDefault="007B4836" w:rsidP="00305B14">
      <w:pPr>
        <w:spacing w:before="100" w:after="0" w:line="240" w:lineRule="auto"/>
        <w:jc w:val="both"/>
        <w:rPr>
          <w:rFonts w:ascii="Tw Cen MT" w:eastAsia="ScalaLancetPro" w:hAnsi="Tw Cen MT" w:cs="Arial"/>
          <w:sz w:val="20"/>
          <w:szCs w:val="20"/>
        </w:rPr>
      </w:pPr>
      <w:r w:rsidRPr="007B4836">
        <w:rPr>
          <w:rFonts w:ascii="Tw Cen MT" w:eastAsia="ScalaLancetPro" w:hAnsi="Tw Cen MT" w:cs="Arial"/>
          <w:b/>
          <w:sz w:val="20"/>
          <w:szCs w:val="20"/>
        </w:rPr>
        <w:lastRenderedPageBreak/>
        <w:t>Abstract</w:t>
      </w:r>
      <w:r>
        <w:rPr>
          <w:rFonts w:ascii="Tw Cen MT" w:eastAsia="ScalaLancetPro" w:hAnsi="Tw Cen MT" w:cs="Arial"/>
          <w:sz w:val="20"/>
          <w:szCs w:val="20"/>
        </w:rPr>
        <w:t>:</w:t>
      </w:r>
    </w:p>
    <w:p w14:paraId="5AF545D4" w14:textId="3FB4942F" w:rsidR="00305B14" w:rsidRPr="007B4836" w:rsidRDefault="0001337A" w:rsidP="00305B14">
      <w:pPr>
        <w:spacing w:after="0" w:line="240" w:lineRule="auto"/>
        <w:jc w:val="both"/>
        <w:rPr>
          <w:rFonts w:ascii="Tw Cen MT" w:hAnsi="Tw Cen MT" w:cs="Arial"/>
          <w:sz w:val="20"/>
          <w:szCs w:val="20"/>
        </w:rPr>
      </w:pPr>
      <w:r>
        <w:rPr>
          <w:rFonts w:ascii="Tw Cen MT" w:hAnsi="Tw Cen MT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55C249D" wp14:editId="0DA59297">
            <wp:simplePos x="0" y="0"/>
            <wp:positionH relativeFrom="column">
              <wp:posOffset>3043555</wp:posOffset>
            </wp:positionH>
            <wp:positionV relativeFrom="paragraph">
              <wp:posOffset>5715</wp:posOffset>
            </wp:positionV>
            <wp:extent cx="3280410" cy="2057400"/>
            <wp:effectExtent l="0" t="0" r="0" b="0"/>
            <wp:wrapTight wrapText="bothSides">
              <wp:wrapPolygon edited="0">
                <wp:start x="0" y="0"/>
                <wp:lineTo x="0" y="21333"/>
                <wp:lineTo x="21408" y="21333"/>
                <wp:lineTo x="21408" y="0"/>
                <wp:lineTo x="0" y="0"/>
              </wp:wrapPolygon>
            </wp:wrapTight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0" t="17913" r="6360" b="3429"/>
                    <a:stretch/>
                  </pic:blipFill>
                  <pic:spPr bwMode="auto">
                    <a:xfrm>
                      <a:off x="0" y="0"/>
                      <a:ext cx="328041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8BD" w:rsidRPr="007B4836">
        <w:rPr>
          <w:rFonts w:ascii="Tw Cen MT" w:eastAsia="ScalaLancetPro" w:hAnsi="Tw Cen MT" w:cs="Arial"/>
          <w:sz w:val="20"/>
          <w:szCs w:val="20"/>
        </w:rPr>
        <w:t xml:space="preserve">Unjustified antibiotic prescribing for acute upper respiratory infections (URTIs) is probably more common in poor-resource settings where physicians are scarce. </w:t>
      </w:r>
      <w:r w:rsidR="0091180D" w:rsidRPr="007B4836">
        <w:rPr>
          <w:rFonts w:ascii="Tw Cen MT" w:eastAsia="ScalaLancetPro" w:hAnsi="Tw Cen MT" w:cs="Arial"/>
          <w:sz w:val="20"/>
          <w:szCs w:val="20"/>
        </w:rPr>
        <w:t xml:space="preserve">Introducing easy tools to help identify infections requiring antibiotics is imperative. Use of C-reactive-protein (CRP) point-of-care testing– an inflammatory indicator, could be a competitive tool for this purpose. </w:t>
      </w:r>
      <w:r w:rsidR="00DF4C0A" w:rsidRPr="007B4836">
        <w:rPr>
          <w:rFonts w:ascii="Tw Cen MT" w:eastAsia="ScalaLancetPro" w:hAnsi="Tw Cen MT" w:cs="Arial"/>
          <w:sz w:val="20"/>
          <w:szCs w:val="20"/>
        </w:rPr>
        <w:t>Clinical trials in developed countries show effectiveness of CRP, prepared as point-of-care testing, to identify patients requiring immediate antibiotics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 xml:space="preserve">, </w:t>
      </w:r>
      <w:r w:rsidR="00DF4C0A" w:rsidRPr="007B4836">
        <w:rPr>
          <w:rFonts w:ascii="Tw Cen MT" w:eastAsia="ScalaLancetPro" w:hAnsi="Tw Cen MT" w:cs="Arial"/>
          <w:sz w:val="20"/>
          <w:szCs w:val="20"/>
        </w:rPr>
        <w:t xml:space="preserve">pending 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>or don’t need any. However</w:t>
      </w:r>
      <w:r w:rsidR="0091180D" w:rsidRPr="007B4836">
        <w:rPr>
          <w:rFonts w:ascii="Tw Cen MT" w:eastAsia="ScalaLancetPro" w:hAnsi="Tw Cen MT" w:cs="Arial"/>
          <w:sz w:val="20"/>
          <w:szCs w:val="20"/>
        </w:rPr>
        <w:t xml:space="preserve">, evidence about level of improper antibiotics 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>prescribing</w:t>
      </w:r>
      <w:r w:rsidR="0091180D" w:rsidRPr="007B4836">
        <w:rPr>
          <w:rFonts w:ascii="Tw Cen MT" w:eastAsia="ScalaLancetPro" w:hAnsi="Tw Cen MT" w:cs="Arial"/>
          <w:sz w:val="20"/>
          <w:szCs w:val="20"/>
        </w:rPr>
        <w:t xml:space="preserve"> and distribution of CRP in patients with URTIs 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>in poor-resource settings is not yet studied</w:t>
      </w:r>
      <w:r w:rsidR="0091180D" w:rsidRPr="007B4836">
        <w:rPr>
          <w:rFonts w:ascii="Tw Cen MT" w:eastAsia="ScalaLancetPro" w:hAnsi="Tw Cen MT" w:cs="Arial"/>
          <w:sz w:val="20"/>
          <w:szCs w:val="20"/>
        </w:rPr>
        <w:t>, which will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 xml:space="preserve"> justify for </w:t>
      </w:r>
      <w:r w:rsidR="0091180D" w:rsidRPr="007B4836">
        <w:rPr>
          <w:rFonts w:ascii="Tw Cen MT" w:eastAsia="ScalaLancetPro" w:hAnsi="Tw Cen MT" w:cs="Arial"/>
          <w:sz w:val="20"/>
          <w:szCs w:val="20"/>
        </w:rPr>
        <w:t xml:space="preserve">introducing </w:t>
      </w:r>
      <w:r w:rsidR="00DF4C0A" w:rsidRPr="007B4836">
        <w:rPr>
          <w:rFonts w:ascii="Tw Cen MT" w:eastAsia="ScalaLancetPro" w:hAnsi="Tw Cen MT" w:cs="Arial"/>
          <w:sz w:val="20"/>
          <w:szCs w:val="20"/>
        </w:rPr>
        <w:t xml:space="preserve">the </w:t>
      </w:r>
      <w:r w:rsidR="0091180D" w:rsidRPr="007B4836">
        <w:rPr>
          <w:rFonts w:ascii="Tw Cen MT" w:eastAsia="ScalaLancetPro" w:hAnsi="Tw Cen MT" w:cs="Arial"/>
          <w:sz w:val="20"/>
          <w:szCs w:val="20"/>
        </w:rPr>
        <w:t>CPR point-of-care testing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 xml:space="preserve">. Our study pointed out the magnitude of antibiotics </w:t>
      </w:r>
      <w:r w:rsidR="00B66BA4" w:rsidRPr="007B4836">
        <w:rPr>
          <w:rFonts w:ascii="Tw Cen MT" w:eastAsia="ScalaLancetPro" w:hAnsi="Tw Cen MT" w:cs="Arial"/>
          <w:sz w:val="20"/>
          <w:szCs w:val="20"/>
        </w:rPr>
        <w:t>prescribing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 xml:space="preserve"> and distribution of CRP levels among the patients with URTIs in primary health care units in Ethiopia. We</w:t>
      </w:r>
      <w:r w:rsidR="000208BD" w:rsidRPr="007B4836">
        <w:rPr>
          <w:rFonts w:ascii="Tw Cen MT" w:eastAsia="ScalaLancetPro" w:hAnsi="Tw Cen MT" w:cs="Arial"/>
          <w:sz w:val="20"/>
          <w:szCs w:val="20"/>
        </w:rPr>
        <w:t xml:space="preserve"> included 414 patients with acute URTIs from four health centers. Health professionals recorded the clinical features of the patients but laboratory </w:t>
      </w:r>
      <w:r w:rsidR="00B66BA4" w:rsidRPr="007B4836">
        <w:rPr>
          <w:rFonts w:ascii="Tw Cen MT" w:eastAsia="ScalaLancetPro" w:hAnsi="Tw Cen MT" w:cs="Arial"/>
          <w:sz w:val="20"/>
          <w:szCs w:val="20"/>
        </w:rPr>
        <w:t>technicians</w:t>
      </w:r>
      <w:r w:rsidR="000208BD" w:rsidRPr="007B4836">
        <w:rPr>
          <w:rFonts w:ascii="Tw Cen MT" w:eastAsia="ScalaLancetPro" w:hAnsi="Tw Cen MT" w:cs="Arial"/>
          <w:sz w:val="20"/>
          <w:szCs w:val="20"/>
        </w:rPr>
        <w:t xml:space="preserve"> measured the CRP levels of </w:t>
      </w:r>
      <w:r w:rsidR="00B66BA4" w:rsidRPr="007B4836">
        <w:rPr>
          <w:rFonts w:ascii="Tw Cen MT" w:eastAsia="ScalaLancetPro" w:hAnsi="Tw Cen MT" w:cs="Arial"/>
          <w:sz w:val="20"/>
          <w:szCs w:val="20"/>
        </w:rPr>
        <w:t>the</w:t>
      </w:r>
      <w:r w:rsidR="000208BD" w:rsidRPr="007B4836">
        <w:rPr>
          <w:rFonts w:ascii="Tw Cen MT" w:eastAsia="ScalaLancetPro" w:hAnsi="Tw Cen MT" w:cs="Arial"/>
          <w:sz w:val="20"/>
          <w:szCs w:val="20"/>
        </w:rPr>
        <w:t xml:space="preserve"> patients at the point of cares. </w:t>
      </w:r>
      <w:r w:rsidR="000208BD" w:rsidRPr="007B4836">
        <w:rPr>
          <w:rFonts w:ascii="Tw Cen MT" w:eastAsia="Calibri" w:hAnsi="Tw Cen MT" w:cs="Arial"/>
          <w:kern w:val="0"/>
          <w:sz w:val="20"/>
          <w:szCs w:val="20"/>
        </w:rPr>
        <w:t>The most prominent respiratory causes for consultation were acute URTIs combined (44.4%), and lower respiratory tract infections</w:t>
      </w:r>
      <w:r w:rsidR="000208BD" w:rsidRPr="007B4836">
        <w:rPr>
          <w:rFonts w:ascii="Tw Cen MT" w:eastAsia="Calibri" w:hAnsi="Tw Cen MT" w:cs="Aharoni"/>
          <w:kern w:val="0"/>
          <w:sz w:val="20"/>
          <w:szCs w:val="20"/>
        </w:rPr>
        <w:t>—</w:t>
      </w:r>
      <w:r w:rsidR="000208BD" w:rsidRPr="007B4836">
        <w:rPr>
          <w:rFonts w:ascii="Tw Cen MT" w:eastAsia="Calibri" w:hAnsi="Tw Cen MT" w:cs="Arial"/>
          <w:kern w:val="0"/>
          <w:sz w:val="20"/>
          <w:szCs w:val="20"/>
        </w:rPr>
        <w:t xml:space="preserve"> pneumonia (29.71%) and acute bronchitis (25.84%). The CRP distribution was less than 20mg/l, 20-99mg/l and 100mg/l or more in 66.6%, 27.9% and 5.5% of </w:t>
      </w:r>
      <w:r w:rsidR="00B66BA4" w:rsidRPr="007B4836">
        <w:rPr>
          <w:rFonts w:ascii="Tw Cen MT" w:eastAsia="Calibri" w:hAnsi="Tw Cen MT" w:cs="Arial"/>
          <w:kern w:val="0"/>
          <w:sz w:val="20"/>
          <w:szCs w:val="20"/>
        </w:rPr>
        <w:t xml:space="preserve">the patients, respectively. These </w:t>
      </w:r>
      <w:r w:rsidR="000208BD" w:rsidRPr="007B4836">
        <w:rPr>
          <w:rFonts w:ascii="Tw Cen MT" w:eastAsia="Calibri" w:hAnsi="Tw Cen MT" w:cs="Arial"/>
          <w:kern w:val="0"/>
          <w:sz w:val="20"/>
          <w:szCs w:val="20"/>
        </w:rPr>
        <w:t xml:space="preserve">levels were significantly different among </w:t>
      </w:r>
      <w:r w:rsidR="00B66BA4" w:rsidRPr="007B4836">
        <w:rPr>
          <w:rFonts w:ascii="Tw Cen MT" w:eastAsia="Calibri" w:hAnsi="Tw Cen MT" w:cs="Arial"/>
          <w:kern w:val="0"/>
          <w:sz w:val="20"/>
          <w:szCs w:val="20"/>
        </w:rPr>
        <w:t>the</w:t>
      </w:r>
      <w:r w:rsidR="000208BD" w:rsidRPr="007B4836">
        <w:rPr>
          <w:rFonts w:ascii="Tw Cen MT" w:eastAsia="Calibri" w:hAnsi="Tw Cen MT" w:cs="Arial"/>
          <w:kern w:val="0"/>
          <w:sz w:val="20"/>
          <w:szCs w:val="20"/>
        </w:rPr>
        <w:t xml:space="preserve"> clinical diagnoses </w:t>
      </w:r>
      <w:r w:rsidR="000208BD" w:rsidRPr="007B4836">
        <w:rPr>
          <w:rFonts w:ascii="Tw Cen MT" w:hAnsi="Tw Cen MT" w:cs="Arial"/>
          <w:sz w:val="20"/>
          <w:szCs w:val="20"/>
        </w:rPr>
        <w:t>(X</w:t>
      </w:r>
      <w:r w:rsidR="000208BD" w:rsidRPr="007B4836">
        <w:rPr>
          <w:rFonts w:ascii="Tw Cen MT" w:hAnsi="Tw Cen MT" w:cs="Arial"/>
          <w:sz w:val="20"/>
          <w:szCs w:val="20"/>
          <w:vertAlign w:val="superscript"/>
        </w:rPr>
        <w:t>2</w:t>
      </w:r>
      <w:r w:rsidR="000208BD" w:rsidRPr="007B4836">
        <w:rPr>
          <w:rFonts w:ascii="Tw Cen MT" w:hAnsi="Tw Cen MT" w:cs="Arial"/>
          <w:sz w:val="20"/>
          <w:szCs w:val="20"/>
        </w:rPr>
        <w:t xml:space="preserve">=114.3, p&lt;0.001, </w:t>
      </w:r>
      <w:proofErr w:type="spellStart"/>
      <w:r w:rsidR="000208BD" w:rsidRPr="007B4836">
        <w:rPr>
          <w:rFonts w:ascii="Tw Cen MT" w:hAnsi="Tw Cen MT" w:cs="Arial"/>
          <w:sz w:val="20"/>
          <w:szCs w:val="20"/>
        </w:rPr>
        <w:t>df</w:t>
      </w:r>
      <w:proofErr w:type="spellEnd"/>
      <w:r w:rsidR="000208BD" w:rsidRPr="007B4836">
        <w:rPr>
          <w:rFonts w:ascii="Tw Cen MT" w:hAnsi="Tw Cen MT" w:cs="Arial"/>
          <w:sz w:val="20"/>
          <w:szCs w:val="20"/>
        </w:rPr>
        <w:t>=4)</w:t>
      </w:r>
      <w:r w:rsidR="000208BD" w:rsidRPr="007B4836">
        <w:rPr>
          <w:rFonts w:ascii="Tw Cen MT" w:eastAsia="Calibri" w:hAnsi="Tw Cen MT" w:cs="Arial"/>
          <w:kern w:val="0"/>
          <w:sz w:val="20"/>
          <w:szCs w:val="20"/>
        </w:rPr>
        <w:t>. A</w:t>
      </w:r>
      <w:r w:rsidR="000208BD" w:rsidRPr="007B4836">
        <w:rPr>
          <w:rFonts w:ascii="Tw Cen MT" w:eastAsia="Calibri" w:hAnsi="Tw Cen MT" w:cs="Arial"/>
          <w:sz w:val="20"/>
          <w:szCs w:val="20"/>
        </w:rPr>
        <w:t xml:space="preserve"> wide range of antibiotics was administered for </w:t>
      </w:r>
      <w:r w:rsidR="000208BD" w:rsidRPr="007B4836">
        <w:rPr>
          <w:rFonts w:ascii="Tw Cen MT" w:eastAsia="Calibri" w:hAnsi="Tw Cen MT" w:cs="Arial"/>
          <w:kern w:val="0"/>
          <w:sz w:val="20"/>
          <w:szCs w:val="20"/>
        </w:rPr>
        <w:t>87.8% of the patients</w:t>
      </w:r>
      <w:r w:rsidR="00B66BA4" w:rsidRPr="007B4836">
        <w:rPr>
          <w:rFonts w:ascii="Tw Cen MT" w:eastAsia="Calibri" w:hAnsi="Tw Cen MT" w:cs="Arial"/>
          <w:sz w:val="20"/>
          <w:szCs w:val="20"/>
        </w:rPr>
        <w:t>, regardless of the diagnosis</w:t>
      </w:r>
      <w:r w:rsidR="000208BD" w:rsidRPr="007B4836">
        <w:rPr>
          <w:rFonts w:ascii="Tw Cen MT" w:eastAsia="Calibri" w:hAnsi="Tw Cen MT" w:cs="Arial"/>
          <w:sz w:val="20"/>
          <w:szCs w:val="20"/>
        </w:rPr>
        <w:t xml:space="preserve"> or prognostic nature of their diseases.</w:t>
      </w:r>
      <w:r w:rsidR="00B32BC3" w:rsidRPr="007B4836">
        <w:rPr>
          <w:rFonts w:ascii="Tw Cen MT" w:eastAsia="ScalaLancetPro" w:hAnsi="Tw Cen MT" w:cs="Arial"/>
          <w:sz w:val="20"/>
          <w:szCs w:val="20"/>
        </w:rPr>
        <w:t xml:space="preserve"> In sum, </w:t>
      </w:r>
      <w:r w:rsidR="00B32BC3" w:rsidRPr="007B4836">
        <w:rPr>
          <w:rFonts w:ascii="Tw Cen MT" w:hAnsi="Tw Cen MT" w:cs="Arial"/>
          <w:sz w:val="20"/>
          <w:szCs w:val="20"/>
        </w:rPr>
        <w:t>a</w:t>
      </w:r>
      <w:r w:rsidR="000208BD" w:rsidRPr="007B4836">
        <w:rPr>
          <w:rFonts w:ascii="Tw Cen MT" w:hAnsi="Tw Cen MT" w:cs="Arial"/>
          <w:sz w:val="20"/>
          <w:szCs w:val="20"/>
        </w:rPr>
        <w:t>ntibiotic prescribing for acute URTIs in the rural areas of Ethiopia is unduly high, with high proportions of mild, self-limiting illness, mostly URTIs. Implementation of CRP point-of-care testing in such</w:t>
      </w:r>
      <w:r w:rsidR="00B66BA4" w:rsidRPr="007B4836">
        <w:rPr>
          <w:rFonts w:ascii="Tw Cen MT" w:hAnsi="Tw Cen MT" w:cs="Arial"/>
          <w:sz w:val="20"/>
          <w:szCs w:val="20"/>
        </w:rPr>
        <w:t xml:space="preserve"> resource-constrained settings </w:t>
      </w:r>
      <w:r w:rsidR="000208BD" w:rsidRPr="007B4836">
        <w:rPr>
          <w:rFonts w:ascii="Tw Cen MT" w:hAnsi="Tw Cen MT" w:cs="Arial"/>
          <w:sz w:val="20"/>
          <w:szCs w:val="20"/>
        </w:rPr>
        <w:t xml:space="preserve">could help </w:t>
      </w:r>
      <w:r w:rsidR="00B66BA4" w:rsidRPr="007B4836">
        <w:rPr>
          <w:rFonts w:ascii="Tw Cen MT" w:hAnsi="Tw Cen MT" w:cs="Arial"/>
          <w:sz w:val="20"/>
          <w:szCs w:val="20"/>
        </w:rPr>
        <w:t xml:space="preserve">low or middle health professionals identify patients who </w:t>
      </w:r>
      <w:r w:rsidR="000208BD" w:rsidRPr="007B4836">
        <w:rPr>
          <w:rFonts w:ascii="Tw Cen MT" w:hAnsi="Tw Cen MT" w:cs="Arial"/>
          <w:sz w:val="20"/>
          <w:szCs w:val="20"/>
        </w:rPr>
        <w:t>benefit from antibiotic treatment.</w:t>
      </w:r>
    </w:p>
    <w:p w14:paraId="112C2170" w14:textId="7E5B9DAB" w:rsidR="0001337A" w:rsidRDefault="0001337A" w:rsidP="00305B14">
      <w:pPr>
        <w:spacing w:before="100" w:after="0" w:line="240" w:lineRule="auto"/>
        <w:jc w:val="both"/>
        <w:rPr>
          <w:rFonts w:ascii="Tw Cen MT" w:hAnsi="Tw Cen MT" w:cs="Arial"/>
          <w:b/>
          <w:sz w:val="20"/>
          <w:szCs w:val="20"/>
        </w:rPr>
      </w:pPr>
      <w:r w:rsidRPr="007B4836">
        <w:rPr>
          <w:rFonts w:ascii="Tw Cen MT" w:hAnsi="Tw Cen MT"/>
          <w:b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068FBBF" wp14:editId="1BBCB218">
            <wp:simplePos x="0" y="0"/>
            <wp:positionH relativeFrom="column">
              <wp:posOffset>-42545</wp:posOffset>
            </wp:positionH>
            <wp:positionV relativeFrom="paragraph">
              <wp:posOffset>123190</wp:posOffset>
            </wp:positionV>
            <wp:extent cx="1094105" cy="1112520"/>
            <wp:effectExtent l="0" t="0" r="0" b="5080"/>
            <wp:wrapTight wrapText="bothSides">
              <wp:wrapPolygon edited="0">
                <wp:start x="0" y="0"/>
                <wp:lineTo x="0" y="21205"/>
                <wp:lineTo x="21061" y="21205"/>
                <wp:lineTo x="2106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70"/>
                    <a:stretch/>
                  </pic:blipFill>
                  <pic:spPr bwMode="auto">
                    <a:xfrm>
                      <a:off x="0" y="0"/>
                      <a:ext cx="1094105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61AE4E" w14:textId="41ABFED2" w:rsidR="0001337A" w:rsidRDefault="0001337A" w:rsidP="00305B14">
      <w:pPr>
        <w:spacing w:before="100" w:after="0" w:line="240" w:lineRule="auto"/>
        <w:jc w:val="both"/>
        <w:rPr>
          <w:rFonts w:ascii="Tw Cen MT" w:hAnsi="Tw Cen MT" w:cs="Arial"/>
          <w:b/>
          <w:sz w:val="20"/>
          <w:szCs w:val="20"/>
        </w:rPr>
      </w:pPr>
    </w:p>
    <w:p w14:paraId="1168C6FF" w14:textId="77777777" w:rsidR="0001337A" w:rsidRDefault="0001337A" w:rsidP="00305B14">
      <w:pPr>
        <w:spacing w:before="100" w:after="0" w:line="240" w:lineRule="auto"/>
        <w:jc w:val="both"/>
        <w:rPr>
          <w:rFonts w:ascii="Tw Cen MT" w:hAnsi="Tw Cen MT" w:cs="Arial"/>
          <w:b/>
          <w:sz w:val="20"/>
          <w:szCs w:val="20"/>
        </w:rPr>
      </w:pPr>
    </w:p>
    <w:p w14:paraId="7BA6E466" w14:textId="77777777" w:rsidR="0001337A" w:rsidRDefault="0001337A" w:rsidP="00305B14">
      <w:pPr>
        <w:spacing w:before="100" w:after="0" w:line="240" w:lineRule="auto"/>
        <w:jc w:val="both"/>
        <w:rPr>
          <w:rFonts w:ascii="Tw Cen MT" w:hAnsi="Tw Cen MT" w:cs="Arial"/>
          <w:b/>
          <w:sz w:val="20"/>
          <w:szCs w:val="20"/>
        </w:rPr>
      </w:pPr>
    </w:p>
    <w:p w14:paraId="4C950CFF" w14:textId="77777777" w:rsidR="0001337A" w:rsidRDefault="0001337A" w:rsidP="00305B14">
      <w:pPr>
        <w:spacing w:before="100" w:after="0" w:line="240" w:lineRule="auto"/>
        <w:jc w:val="both"/>
        <w:rPr>
          <w:rFonts w:ascii="Tw Cen MT" w:hAnsi="Tw Cen MT" w:cs="Arial"/>
          <w:b/>
          <w:sz w:val="20"/>
          <w:szCs w:val="20"/>
        </w:rPr>
      </w:pPr>
    </w:p>
    <w:p w14:paraId="3DC25477" w14:textId="77777777" w:rsidR="0001337A" w:rsidRPr="0001337A" w:rsidRDefault="0001337A" w:rsidP="0001337A">
      <w:pPr>
        <w:rPr>
          <w:rFonts w:ascii="Tw Cen MT" w:eastAsia="Times New Roman" w:hAnsi="Tw Cen MT" w:cs="Times New Roman"/>
          <w:kern w:val="0"/>
          <w:sz w:val="16"/>
          <w:szCs w:val="16"/>
        </w:rPr>
      </w:pPr>
      <w:r w:rsidRPr="0001337A">
        <w:rPr>
          <w:rFonts w:ascii="Tw Cen MT" w:hAnsi="Tw Cen MT" w:cs="Arial"/>
          <w:b/>
          <w:sz w:val="16"/>
          <w:szCs w:val="16"/>
        </w:rPr>
        <w:t xml:space="preserve">Fig. </w:t>
      </w:r>
      <w:r w:rsidRPr="0001337A">
        <w:rPr>
          <w:rFonts w:ascii="Tw Cen MT" w:eastAsia="Times New Roman" w:hAnsi="Tw Cen MT" w:cs="Times New Roman"/>
          <w:color w:val="000000"/>
          <w:kern w:val="0"/>
          <w:sz w:val="16"/>
          <w:szCs w:val="16"/>
          <w:shd w:val="clear" w:color="auto" w:fill="FFFFFF"/>
        </w:rPr>
        <w:t xml:space="preserve">The respiratory diseases by CRP distributions and 95% confidence interval of the patients in four health </w:t>
      </w:r>
      <w:proofErr w:type="spellStart"/>
      <w:r w:rsidRPr="0001337A">
        <w:rPr>
          <w:rFonts w:ascii="Tw Cen MT" w:eastAsia="Times New Roman" w:hAnsi="Tw Cen MT" w:cs="Times New Roman"/>
          <w:color w:val="000000"/>
          <w:kern w:val="0"/>
          <w:sz w:val="16"/>
          <w:szCs w:val="16"/>
          <w:shd w:val="clear" w:color="auto" w:fill="FFFFFF"/>
        </w:rPr>
        <w:t>centres</w:t>
      </w:r>
      <w:proofErr w:type="spellEnd"/>
    </w:p>
    <w:p w14:paraId="64815355" w14:textId="42CD0FC6" w:rsidR="009E1DD3" w:rsidRPr="006E4D83" w:rsidRDefault="00305B14" w:rsidP="00305B14">
      <w:pPr>
        <w:spacing w:before="100" w:after="0" w:line="240" w:lineRule="auto"/>
        <w:jc w:val="both"/>
        <w:rPr>
          <w:rFonts w:ascii="Tw Cen MT" w:hAnsi="Tw Cen MT" w:cs="Arial"/>
          <w:b/>
          <w:sz w:val="20"/>
          <w:szCs w:val="20"/>
        </w:rPr>
      </w:pPr>
      <w:r>
        <w:rPr>
          <w:rFonts w:ascii="Tw Cen MT" w:hAnsi="Tw Cen MT" w:cs="Arial"/>
          <w:b/>
          <w:sz w:val="20"/>
          <w:szCs w:val="20"/>
        </w:rPr>
        <w:t xml:space="preserve">Publications </w:t>
      </w:r>
    </w:p>
    <w:p w14:paraId="5C257A99" w14:textId="72A8C4E9" w:rsidR="00305B14" w:rsidRPr="00305B14" w:rsidRDefault="00305B14" w:rsidP="0001337A">
      <w:pPr>
        <w:widowControl w:val="0"/>
        <w:autoSpaceDE w:val="0"/>
        <w:autoSpaceDN w:val="0"/>
        <w:adjustRightInd w:val="0"/>
        <w:spacing w:before="40" w:after="0"/>
        <w:rPr>
          <w:rFonts w:ascii="Tw Cen MT" w:hAnsi="Tw Cen MT" w:cs="Arial"/>
          <w:sz w:val="16"/>
          <w:szCs w:val="20"/>
        </w:rPr>
      </w:pPr>
      <w:r w:rsidRPr="00305B14">
        <w:rPr>
          <w:rFonts w:ascii="Tw Cen MT" w:hAnsi="Tw Cen MT" w:cs="Arial"/>
          <w:b/>
          <w:sz w:val="16"/>
          <w:szCs w:val="20"/>
        </w:rPr>
        <w:t>1. Yebyo HG</w:t>
      </w:r>
      <w:r w:rsidRPr="00305B14">
        <w:rPr>
          <w:rFonts w:ascii="Tw Cen MT" w:hAnsi="Tw Cen MT" w:cs="Arial"/>
          <w:sz w:val="16"/>
          <w:szCs w:val="20"/>
        </w:rPr>
        <w:t xml:space="preserve">, Kendall C, </w:t>
      </w:r>
      <w:proofErr w:type="spellStart"/>
      <w:r w:rsidRPr="00305B14">
        <w:rPr>
          <w:rFonts w:ascii="Tw Cen MT" w:hAnsi="Tw Cen MT" w:cs="Arial"/>
          <w:sz w:val="16"/>
          <w:szCs w:val="20"/>
        </w:rPr>
        <w:t>Nigusse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 D, Lemma W. Outpatient therapeutic feeding program outcomes and determinants in treatment of severe acute malnutrition in </w:t>
      </w:r>
      <w:proofErr w:type="spellStart"/>
      <w:r w:rsidRPr="00305B14">
        <w:rPr>
          <w:rFonts w:ascii="Tw Cen MT" w:hAnsi="Tw Cen MT" w:cs="Arial"/>
          <w:sz w:val="16"/>
          <w:szCs w:val="20"/>
        </w:rPr>
        <w:t>Tigray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, northern Ethiopia: a retrospective cohort study. </w:t>
      </w:r>
      <w:proofErr w:type="spellStart"/>
      <w:r w:rsidRPr="00305B14">
        <w:rPr>
          <w:rFonts w:ascii="Tw Cen MT" w:hAnsi="Tw Cen MT" w:cs="Arial"/>
          <w:sz w:val="16"/>
          <w:szCs w:val="20"/>
        </w:rPr>
        <w:t>PLoS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 One 2013; 8: e65840.</w:t>
      </w:r>
    </w:p>
    <w:p w14:paraId="50B4FAF3" w14:textId="2B2DF406" w:rsidR="00305B14" w:rsidRPr="00305B14" w:rsidRDefault="00305B14" w:rsidP="0001337A">
      <w:pPr>
        <w:widowControl w:val="0"/>
        <w:autoSpaceDE w:val="0"/>
        <w:autoSpaceDN w:val="0"/>
        <w:adjustRightInd w:val="0"/>
        <w:spacing w:before="40" w:after="0"/>
        <w:rPr>
          <w:rFonts w:ascii="Tw Cen MT" w:hAnsi="Tw Cen MT" w:cs="Arial"/>
          <w:sz w:val="16"/>
          <w:szCs w:val="20"/>
        </w:rPr>
      </w:pPr>
      <w:r w:rsidRPr="00305B14">
        <w:rPr>
          <w:rFonts w:ascii="Tw Cen MT" w:hAnsi="Tw Cen MT" w:cs="Arial"/>
          <w:b/>
          <w:sz w:val="16"/>
          <w:szCs w:val="20"/>
        </w:rPr>
        <w:t>2. Yebyo H</w:t>
      </w:r>
      <w:r w:rsidRPr="00305B14">
        <w:rPr>
          <w:rFonts w:ascii="Tw Cen MT" w:hAnsi="Tw Cen MT" w:cs="Arial"/>
          <w:sz w:val="16"/>
          <w:szCs w:val="20"/>
        </w:rPr>
        <w:t xml:space="preserve">, </w:t>
      </w:r>
      <w:proofErr w:type="spellStart"/>
      <w:r w:rsidRPr="00305B14">
        <w:rPr>
          <w:rFonts w:ascii="Tw Cen MT" w:hAnsi="Tw Cen MT" w:cs="Arial"/>
          <w:sz w:val="16"/>
          <w:szCs w:val="20"/>
        </w:rPr>
        <w:t>Medhanyie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 AA, </w:t>
      </w:r>
      <w:proofErr w:type="spellStart"/>
      <w:r w:rsidRPr="00305B14">
        <w:rPr>
          <w:rFonts w:ascii="Tw Cen MT" w:hAnsi="Tw Cen MT" w:cs="Arial"/>
          <w:sz w:val="16"/>
          <w:szCs w:val="20"/>
        </w:rPr>
        <w:t>Spigt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 M, </w:t>
      </w:r>
      <w:proofErr w:type="spellStart"/>
      <w:r w:rsidRPr="00305B14">
        <w:rPr>
          <w:rFonts w:ascii="Tw Cen MT" w:hAnsi="Tw Cen MT" w:cs="Arial"/>
          <w:sz w:val="16"/>
          <w:szCs w:val="20"/>
        </w:rPr>
        <w:t>Hopstaken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 R. C-reactive protein point-of-care testing and antibiotic prescribing for acute respiratory tract infections in rural primary health </w:t>
      </w:r>
      <w:proofErr w:type="spellStart"/>
      <w:r w:rsidRPr="00305B14">
        <w:rPr>
          <w:rFonts w:ascii="Tw Cen MT" w:hAnsi="Tw Cen MT" w:cs="Arial"/>
          <w:sz w:val="16"/>
          <w:szCs w:val="20"/>
        </w:rPr>
        <w:t>centres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 of North Ethiopia: a cross-sectional study. </w:t>
      </w:r>
      <w:proofErr w:type="spellStart"/>
      <w:proofErr w:type="gramStart"/>
      <w:r w:rsidRPr="00305B14">
        <w:rPr>
          <w:rFonts w:ascii="Tw Cen MT" w:hAnsi="Tw Cen MT" w:cs="Arial"/>
          <w:sz w:val="16"/>
          <w:szCs w:val="20"/>
        </w:rPr>
        <w:t>npj</w:t>
      </w:r>
      <w:proofErr w:type="spellEnd"/>
      <w:proofErr w:type="gramEnd"/>
      <w:r w:rsidRPr="00305B14">
        <w:rPr>
          <w:rFonts w:ascii="Tw Cen MT" w:hAnsi="Tw Cen MT" w:cs="Arial"/>
          <w:sz w:val="16"/>
          <w:szCs w:val="20"/>
        </w:rPr>
        <w:t xml:space="preserve"> Prim Care </w:t>
      </w:r>
      <w:proofErr w:type="spellStart"/>
      <w:r w:rsidRPr="00305B14">
        <w:rPr>
          <w:rFonts w:ascii="Tw Cen MT" w:hAnsi="Tw Cen MT" w:cs="Arial"/>
          <w:sz w:val="16"/>
          <w:szCs w:val="20"/>
        </w:rPr>
        <w:t>Respir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 Med 2016; 26. DOI</w:t>
      </w:r>
      <w:proofErr w:type="gramStart"/>
      <w:r w:rsidRPr="00305B14">
        <w:rPr>
          <w:rFonts w:ascii="Tw Cen MT" w:hAnsi="Tw Cen MT" w:cs="Arial"/>
          <w:sz w:val="16"/>
          <w:szCs w:val="20"/>
        </w:rPr>
        <w:t>:10.1038</w:t>
      </w:r>
      <w:proofErr w:type="gramEnd"/>
      <w:r w:rsidRPr="00305B14">
        <w:rPr>
          <w:rFonts w:ascii="Tw Cen MT" w:hAnsi="Tw Cen MT" w:cs="Arial"/>
          <w:sz w:val="16"/>
          <w:szCs w:val="20"/>
        </w:rPr>
        <w:t>/npjpcrm.2015.76.</w:t>
      </w:r>
    </w:p>
    <w:p w14:paraId="4DBEE2CD" w14:textId="73310075" w:rsidR="00305B14" w:rsidRPr="00305B14" w:rsidRDefault="00305B14" w:rsidP="0001337A">
      <w:pPr>
        <w:widowControl w:val="0"/>
        <w:autoSpaceDE w:val="0"/>
        <w:autoSpaceDN w:val="0"/>
        <w:adjustRightInd w:val="0"/>
        <w:spacing w:before="40" w:after="0"/>
        <w:rPr>
          <w:rFonts w:ascii="Tw Cen MT" w:hAnsi="Tw Cen MT" w:cs="Arial"/>
          <w:sz w:val="16"/>
          <w:szCs w:val="20"/>
        </w:rPr>
      </w:pPr>
      <w:r w:rsidRPr="00305B14">
        <w:rPr>
          <w:rFonts w:ascii="Tw Cen MT" w:hAnsi="Tw Cen MT" w:cs="Arial"/>
          <w:b/>
          <w:sz w:val="16"/>
          <w:szCs w:val="20"/>
        </w:rPr>
        <w:t>3. Yebyo H</w:t>
      </w:r>
      <w:r w:rsidRPr="00305B14">
        <w:rPr>
          <w:rFonts w:ascii="Tw Cen MT" w:hAnsi="Tw Cen MT" w:cs="Arial"/>
          <w:sz w:val="16"/>
          <w:szCs w:val="20"/>
        </w:rPr>
        <w:t xml:space="preserve">, </w:t>
      </w:r>
      <w:proofErr w:type="spellStart"/>
      <w:r w:rsidRPr="00305B14">
        <w:rPr>
          <w:rFonts w:ascii="Tw Cen MT" w:hAnsi="Tw Cen MT" w:cs="Arial"/>
          <w:sz w:val="16"/>
          <w:szCs w:val="20"/>
        </w:rPr>
        <w:t>Alemayehu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 M, </w:t>
      </w:r>
      <w:proofErr w:type="spellStart"/>
      <w:proofErr w:type="gramStart"/>
      <w:r w:rsidRPr="00305B14">
        <w:rPr>
          <w:rFonts w:ascii="Tw Cen MT" w:hAnsi="Tw Cen MT" w:cs="Arial"/>
          <w:sz w:val="16"/>
          <w:szCs w:val="20"/>
        </w:rPr>
        <w:t>Kahsay</w:t>
      </w:r>
      <w:proofErr w:type="spellEnd"/>
      <w:proofErr w:type="gramEnd"/>
      <w:r w:rsidRPr="00305B14">
        <w:rPr>
          <w:rFonts w:ascii="Tw Cen MT" w:hAnsi="Tw Cen MT" w:cs="Arial"/>
          <w:sz w:val="16"/>
          <w:szCs w:val="20"/>
        </w:rPr>
        <w:t xml:space="preserve"> A. Why do women deliver at home? </w:t>
      </w:r>
      <w:proofErr w:type="gramStart"/>
      <w:r w:rsidRPr="00305B14">
        <w:rPr>
          <w:rFonts w:ascii="Tw Cen MT" w:hAnsi="Tw Cen MT" w:cs="Arial"/>
          <w:sz w:val="16"/>
          <w:szCs w:val="20"/>
        </w:rPr>
        <w:t>Multilevel modeling of Ethiopian national demographic and health survey data.</w:t>
      </w:r>
      <w:proofErr w:type="gramEnd"/>
      <w:r w:rsidRPr="00305B14">
        <w:rPr>
          <w:rFonts w:ascii="Tw Cen MT" w:hAnsi="Tw Cen MT" w:cs="Arial"/>
          <w:sz w:val="16"/>
          <w:szCs w:val="20"/>
        </w:rPr>
        <w:t xml:space="preserve"> </w:t>
      </w:r>
      <w:proofErr w:type="spellStart"/>
      <w:r w:rsidRPr="00305B14">
        <w:rPr>
          <w:rFonts w:ascii="Tw Cen MT" w:hAnsi="Tw Cen MT" w:cs="Arial"/>
          <w:sz w:val="16"/>
          <w:szCs w:val="20"/>
        </w:rPr>
        <w:t>PLoS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 One 2015; 10: e0124718.</w:t>
      </w:r>
    </w:p>
    <w:p w14:paraId="088B9CA4" w14:textId="39EB7167" w:rsidR="00305B14" w:rsidRPr="00305B14" w:rsidRDefault="00305B14" w:rsidP="0001337A">
      <w:pPr>
        <w:widowControl w:val="0"/>
        <w:autoSpaceDE w:val="0"/>
        <w:autoSpaceDN w:val="0"/>
        <w:adjustRightInd w:val="0"/>
        <w:spacing w:before="40" w:after="0"/>
        <w:rPr>
          <w:rFonts w:ascii="Tw Cen MT" w:hAnsi="Tw Cen MT" w:cs="Arial"/>
          <w:sz w:val="16"/>
          <w:szCs w:val="20"/>
        </w:rPr>
      </w:pPr>
      <w:r w:rsidRPr="00305B14">
        <w:rPr>
          <w:rFonts w:ascii="Tw Cen MT" w:hAnsi="Tw Cen MT" w:cs="Arial"/>
          <w:b/>
          <w:sz w:val="16"/>
          <w:szCs w:val="20"/>
        </w:rPr>
        <w:t>4</w:t>
      </w:r>
      <w:r w:rsidRPr="00305B14">
        <w:rPr>
          <w:rFonts w:ascii="Tw Cen MT" w:hAnsi="Tw Cen MT" w:cs="Arial"/>
          <w:sz w:val="16"/>
          <w:szCs w:val="20"/>
        </w:rPr>
        <w:t xml:space="preserve">. </w:t>
      </w:r>
      <w:proofErr w:type="spellStart"/>
      <w:r w:rsidRPr="00305B14">
        <w:rPr>
          <w:rFonts w:ascii="Tw Cen MT" w:hAnsi="Tw Cen MT" w:cs="Arial"/>
          <w:sz w:val="16"/>
          <w:szCs w:val="20"/>
        </w:rPr>
        <w:t>Ebuy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 H, </w:t>
      </w:r>
      <w:r w:rsidRPr="00305B14">
        <w:rPr>
          <w:rFonts w:ascii="Tw Cen MT" w:hAnsi="Tw Cen MT" w:cs="Arial"/>
          <w:b/>
          <w:sz w:val="16"/>
          <w:szCs w:val="20"/>
        </w:rPr>
        <w:t>Yebyo H</w:t>
      </w:r>
      <w:r w:rsidRPr="00305B14">
        <w:rPr>
          <w:rFonts w:ascii="Tw Cen MT" w:hAnsi="Tw Cen MT" w:cs="Arial"/>
          <w:sz w:val="16"/>
          <w:szCs w:val="20"/>
        </w:rPr>
        <w:t xml:space="preserve">, </w:t>
      </w:r>
      <w:proofErr w:type="spellStart"/>
      <w:r w:rsidRPr="00305B14">
        <w:rPr>
          <w:rFonts w:ascii="Tw Cen MT" w:hAnsi="Tw Cen MT" w:cs="Arial"/>
          <w:sz w:val="16"/>
          <w:szCs w:val="20"/>
        </w:rPr>
        <w:t>Alemayehu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 M. Adherence level to and predictors of Option B+ PMTCT program in </w:t>
      </w:r>
      <w:proofErr w:type="spellStart"/>
      <w:r w:rsidRPr="00305B14">
        <w:rPr>
          <w:rFonts w:ascii="Tw Cen MT" w:hAnsi="Tw Cen MT" w:cs="Arial"/>
          <w:sz w:val="16"/>
          <w:szCs w:val="20"/>
        </w:rPr>
        <w:t>Tigray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, Northern Ethiopia. </w:t>
      </w:r>
      <w:proofErr w:type="spellStart"/>
      <w:r w:rsidRPr="00305B14">
        <w:rPr>
          <w:rFonts w:ascii="Tw Cen MT" w:hAnsi="Tw Cen MT" w:cs="Arial"/>
          <w:sz w:val="16"/>
          <w:szCs w:val="20"/>
        </w:rPr>
        <w:t>Int</w:t>
      </w:r>
      <w:proofErr w:type="spellEnd"/>
      <w:r w:rsidRPr="00305B14">
        <w:rPr>
          <w:rFonts w:ascii="Tw Cen MT" w:hAnsi="Tw Cen MT" w:cs="Arial"/>
          <w:sz w:val="16"/>
          <w:szCs w:val="20"/>
        </w:rPr>
        <w:t xml:space="preserve"> J Infect Dis 2014; 33: 1–7.</w:t>
      </w:r>
    </w:p>
    <w:p w14:paraId="335697BE" w14:textId="6DB2DEB7" w:rsidR="00305B14" w:rsidRPr="00305B14" w:rsidRDefault="0001337A" w:rsidP="0001337A">
      <w:pPr>
        <w:widowControl w:val="0"/>
        <w:autoSpaceDE w:val="0"/>
        <w:autoSpaceDN w:val="0"/>
        <w:adjustRightInd w:val="0"/>
        <w:spacing w:before="40" w:after="0"/>
        <w:rPr>
          <w:rFonts w:ascii="Tw Cen MT" w:hAnsi="Tw Cen MT" w:cs="Arial"/>
          <w:sz w:val="16"/>
          <w:szCs w:val="20"/>
        </w:rPr>
      </w:pPr>
      <w:r>
        <w:rPr>
          <w:rFonts w:ascii="Tw Cen MT" w:hAnsi="Tw Cen MT" w:cs="Arial"/>
          <w:b/>
          <w:sz w:val="16"/>
          <w:szCs w:val="20"/>
        </w:rPr>
        <w:t>5</w:t>
      </w:r>
      <w:r w:rsidR="00305B14" w:rsidRPr="00305B14">
        <w:rPr>
          <w:rFonts w:ascii="Tw Cen MT" w:hAnsi="Tw Cen MT" w:cs="Arial"/>
          <w:sz w:val="16"/>
          <w:szCs w:val="20"/>
        </w:rPr>
        <w:t xml:space="preserve">.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Alemayehu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 M,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Tinsae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 F,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Haileslassie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 K,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Seid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 O,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Gebregziabher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 G, </w:t>
      </w:r>
      <w:r w:rsidR="00305B14" w:rsidRPr="00305B14">
        <w:rPr>
          <w:rFonts w:ascii="Tw Cen MT" w:hAnsi="Tw Cen MT" w:cs="Arial"/>
          <w:b/>
          <w:sz w:val="16"/>
          <w:szCs w:val="20"/>
        </w:rPr>
        <w:t>Yebyo H</w:t>
      </w:r>
      <w:r w:rsidR="00305B14" w:rsidRPr="00305B14">
        <w:rPr>
          <w:rFonts w:ascii="Tw Cen MT" w:hAnsi="Tw Cen MT" w:cs="Arial"/>
          <w:sz w:val="16"/>
          <w:szCs w:val="20"/>
        </w:rPr>
        <w:t xml:space="preserve">.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Undernutrition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 status and associated factors in under-5 children, in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Tigray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, Northern Ethiopia. </w:t>
      </w:r>
      <w:proofErr w:type="gramStart"/>
      <w:r w:rsidR="00305B14" w:rsidRPr="00305B14">
        <w:rPr>
          <w:rFonts w:ascii="Tw Cen MT" w:hAnsi="Tw Cen MT" w:cs="Arial"/>
          <w:sz w:val="16"/>
          <w:szCs w:val="20"/>
        </w:rPr>
        <w:t>Nutrition 2015; 31: 964–70.</w:t>
      </w:r>
      <w:proofErr w:type="gramEnd"/>
    </w:p>
    <w:p w14:paraId="7D5EF0C9" w14:textId="45B1094F" w:rsidR="00305B14" w:rsidRPr="00305B14" w:rsidRDefault="0001337A" w:rsidP="0001337A">
      <w:pPr>
        <w:widowControl w:val="0"/>
        <w:autoSpaceDE w:val="0"/>
        <w:autoSpaceDN w:val="0"/>
        <w:adjustRightInd w:val="0"/>
        <w:spacing w:before="40" w:after="0"/>
        <w:rPr>
          <w:rFonts w:ascii="Tw Cen MT" w:hAnsi="Tw Cen MT" w:cs="Arial"/>
          <w:sz w:val="16"/>
          <w:szCs w:val="20"/>
        </w:rPr>
      </w:pPr>
      <w:r>
        <w:rPr>
          <w:rFonts w:ascii="Tw Cen MT" w:hAnsi="Tw Cen MT" w:cs="Arial"/>
          <w:b/>
          <w:sz w:val="16"/>
          <w:szCs w:val="20"/>
        </w:rPr>
        <w:t>6</w:t>
      </w:r>
      <w:r w:rsidR="00305B14" w:rsidRPr="00305B14">
        <w:rPr>
          <w:rFonts w:ascii="Tw Cen MT" w:hAnsi="Tw Cen MT" w:cs="Arial"/>
          <w:sz w:val="16"/>
          <w:szCs w:val="20"/>
        </w:rPr>
        <w:t xml:space="preserve">. Little A,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Medhanyie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 A, </w:t>
      </w:r>
      <w:r w:rsidR="00305B14" w:rsidRPr="00305B14">
        <w:rPr>
          <w:rFonts w:ascii="Tw Cen MT" w:hAnsi="Tw Cen MT" w:cs="Arial"/>
          <w:b/>
          <w:sz w:val="16"/>
          <w:szCs w:val="20"/>
        </w:rPr>
        <w:t>Yebyo H</w:t>
      </w:r>
      <w:r w:rsidR="00305B14" w:rsidRPr="00305B14">
        <w:rPr>
          <w:rFonts w:ascii="Tw Cen MT" w:hAnsi="Tw Cen MT" w:cs="Arial"/>
          <w:sz w:val="16"/>
          <w:szCs w:val="20"/>
        </w:rPr>
        <w:t xml:space="preserve">,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Spigt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 M,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Dinant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 G-J, Blanco R. Meeting community health worker needs for maternal health care service delivery using appropriate mobile technologies in Ethiopia.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PLoS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 One 2013; 8: e77563.</w:t>
      </w:r>
    </w:p>
    <w:p w14:paraId="3E485212" w14:textId="6011425F" w:rsidR="00305B14" w:rsidRPr="00305B14" w:rsidRDefault="0001337A" w:rsidP="0001337A">
      <w:pPr>
        <w:widowControl w:val="0"/>
        <w:autoSpaceDE w:val="0"/>
        <w:autoSpaceDN w:val="0"/>
        <w:adjustRightInd w:val="0"/>
        <w:spacing w:before="40" w:after="0"/>
        <w:rPr>
          <w:rFonts w:ascii="Tw Cen MT" w:hAnsi="Tw Cen MT" w:cs="Arial"/>
          <w:sz w:val="16"/>
          <w:szCs w:val="20"/>
        </w:rPr>
      </w:pPr>
      <w:r>
        <w:rPr>
          <w:rFonts w:ascii="Tw Cen MT" w:hAnsi="Tw Cen MT" w:cs="Arial"/>
          <w:b/>
          <w:sz w:val="16"/>
          <w:szCs w:val="20"/>
        </w:rPr>
        <w:t>7</w:t>
      </w:r>
      <w:r w:rsidR="00305B14" w:rsidRPr="00305B14">
        <w:rPr>
          <w:rFonts w:ascii="Tw Cen MT" w:hAnsi="Tw Cen MT" w:cs="Arial"/>
          <w:b/>
          <w:sz w:val="16"/>
          <w:szCs w:val="20"/>
        </w:rPr>
        <w:t>.</w:t>
      </w:r>
      <w:r w:rsidR="00305B14" w:rsidRPr="00305B14">
        <w:rPr>
          <w:rFonts w:ascii="Tw Cen MT" w:hAnsi="Tw Cen MT" w:cs="Arial"/>
          <w:sz w:val="16"/>
          <w:szCs w:val="20"/>
        </w:rPr>
        <w:t xml:space="preserve">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Medhanyie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 A, Little A, </w:t>
      </w:r>
      <w:r w:rsidR="00305B14" w:rsidRPr="00305B14">
        <w:rPr>
          <w:rFonts w:ascii="Tw Cen MT" w:hAnsi="Tw Cen MT" w:cs="Arial"/>
          <w:b/>
          <w:sz w:val="16"/>
          <w:szCs w:val="20"/>
        </w:rPr>
        <w:t>Yebyo H</w:t>
      </w:r>
      <w:r w:rsidR="00305B14" w:rsidRPr="00305B14">
        <w:rPr>
          <w:rFonts w:ascii="Tw Cen MT" w:hAnsi="Tw Cen MT" w:cs="Arial"/>
          <w:sz w:val="16"/>
          <w:szCs w:val="20"/>
        </w:rPr>
        <w:t xml:space="preserve">, et al. Health workers’ experiences, barriers, preferences and motivating factors in using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mHealth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 forms in Ethiopia. Hum </w:t>
      </w:r>
      <w:proofErr w:type="spellStart"/>
      <w:r w:rsidR="00305B14" w:rsidRPr="00305B14">
        <w:rPr>
          <w:rFonts w:ascii="Tw Cen MT" w:hAnsi="Tw Cen MT" w:cs="Arial"/>
          <w:sz w:val="16"/>
          <w:szCs w:val="20"/>
        </w:rPr>
        <w:t>Resour</w:t>
      </w:r>
      <w:proofErr w:type="spellEnd"/>
      <w:r w:rsidR="00305B14" w:rsidRPr="00305B14">
        <w:rPr>
          <w:rFonts w:ascii="Tw Cen MT" w:hAnsi="Tw Cen MT" w:cs="Arial"/>
          <w:sz w:val="16"/>
          <w:szCs w:val="20"/>
        </w:rPr>
        <w:t xml:space="preserve"> Health 2015; 13: 2.</w:t>
      </w:r>
    </w:p>
    <w:p w14:paraId="616B17EA" w14:textId="77777777" w:rsidR="009E1DD3" w:rsidRPr="007B4836" w:rsidRDefault="009E1DD3" w:rsidP="0001337A">
      <w:pPr>
        <w:spacing w:after="0" w:line="240" w:lineRule="auto"/>
        <w:jc w:val="both"/>
        <w:rPr>
          <w:rFonts w:ascii="Tw Cen MT" w:hAnsi="Tw Cen MT"/>
          <w:b/>
          <w:sz w:val="20"/>
          <w:szCs w:val="20"/>
        </w:rPr>
        <w:sectPr w:rsidR="009E1DD3" w:rsidRPr="007B4836" w:rsidSect="00305B14">
          <w:type w:val="continuous"/>
          <w:pgSz w:w="11900" w:h="16840"/>
          <w:pgMar w:top="709" w:right="1021" w:bottom="709" w:left="1021" w:header="709" w:footer="709" w:gutter="0"/>
          <w:cols w:num="2" w:space="708"/>
          <w:docGrid w:linePitch="360"/>
        </w:sectPr>
      </w:pPr>
    </w:p>
    <w:p w14:paraId="3A6F09F2" w14:textId="77777777" w:rsidR="0001337A" w:rsidRDefault="0001337A" w:rsidP="007B4836">
      <w:pPr>
        <w:spacing w:line="240" w:lineRule="auto"/>
        <w:rPr>
          <w:rFonts w:ascii="Tw Cen MT" w:hAnsi="Tw Cen MT"/>
          <w:b/>
          <w:sz w:val="20"/>
          <w:szCs w:val="20"/>
        </w:rPr>
      </w:pPr>
    </w:p>
    <w:p w14:paraId="30AC36C5" w14:textId="77777777" w:rsidR="0001337A" w:rsidRDefault="0001337A" w:rsidP="007B4836">
      <w:pPr>
        <w:spacing w:line="240" w:lineRule="auto"/>
        <w:rPr>
          <w:rFonts w:ascii="Tw Cen MT" w:hAnsi="Tw Cen MT"/>
          <w:b/>
          <w:sz w:val="20"/>
          <w:szCs w:val="20"/>
        </w:rPr>
      </w:pPr>
    </w:p>
    <w:p w14:paraId="74BB797A" w14:textId="77777777" w:rsidR="00207056" w:rsidRDefault="00207056" w:rsidP="0001337A">
      <w:pPr>
        <w:spacing w:before="100" w:after="100" w:line="240" w:lineRule="auto"/>
        <w:rPr>
          <w:rFonts w:ascii="Tw Cen MT" w:hAnsi="Tw Cen MT"/>
          <w:b/>
          <w:sz w:val="20"/>
          <w:szCs w:val="20"/>
        </w:rPr>
      </w:pPr>
    </w:p>
    <w:p w14:paraId="5958B2F5" w14:textId="643A23CB" w:rsidR="005C5FB1" w:rsidRPr="0001337A" w:rsidRDefault="00360635" w:rsidP="0001337A">
      <w:pPr>
        <w:spacing w:before="100" w:after="100" w:line="240" w:lineRule="auto"/>
        <w:rPr>
          <w:rFonts w:ascii="Tw Cen MT" w:hAnsi="Tw Cen MT"/>
          <w:b/>
          <w:sz w:val="20"/>
          <w:szCs w:val="20"/>
        </w:rPr>
      </w:pPr>
      <w:r w:rsidRPr="007B4836">
        <w:rPr>
          <w:rFonts w:ascii="Tw Cen MT" w:hAnsi="Tw Cen MT"/>
          <w:b/>
          <w:sz w:val="20"/>
          <w:szCs w:val="20"/>
        </w:rPr>
        <w:t>Biography</w:t>
      </w:r>
      <w:r w:rsidR="007B4836">
        <w:rPr>
          <w:rFonts w:ascii="Tw Cen MT" w:hAnsi="Tw Cen MT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 w:rsidR="0001337A">
        <w:rPr>
          <w:rFonts w:ascii="Tw Cen MT" w:hAnsi="Tw Cen MT"/>
          <w:b/>
          <w:sz w:val="20"/>
          <w:szCs w:val="20"/>
        </w:rPr>
        <w:t xml:space="preserve">      </w:t>
      </w:r>
      <w:r w:rsidRPr="007B4836">
        <w:rPr>
          <w:rFonts w:ascii="Tw Cen MT" w:hAnsi="Tw Cen MT"/>
          <w:sz w:val="20"/>
          <w:szCs w:val="20"/>
        </w:rPr>
        <w:t xml:space="preserve">Henock Yebyo is a PhD student at Epidemiology, Biostatistics and Preventive Medicine Institute, University of Zurich. </w:t>
      </w:r>
      <w:r w:rsidR="009E1DD3" w:rsidRPr="007B4836">
        <w:rPr>
          <w:rFonts w:ascii="Tw Cen MT" w:hAnsi="Tw Cen MT"/>
          <w:sz w:val="20"/>
          <w:szCs w:val="20"/>
        </w:rPr>
        <w:t xml:space="preserve">He is doing his research on benefit-harm analysis of statins for primary prevention of cardiovascular diseases in Switzerland and Ethiopia and development of personalized clinical decisions tools. </w:t>
      </w:r>
      <w:r w:rsidRPr="007B4836">
        <w:rPr>
          <w:rFonts w:ascii="Tw Cen MT" w:hAnsi="Tw Cen MT"/>
          <w:sz w:val="20"/>
          <w:szCs w:val="20"/>
        </w:rPr>
        <w:t>He has been working in</w:t>
      </w:r>
      <w:r w:rsidR="00900435" w:rsidRPr="007B4836">
        <w:rPr>
          <w:rFonts w:ascii="Tw Cen MT" w:hAnsi="Tw Cen MT"/>
          <w:sz w:val="20"/>
          <w:szCs w:val="20"/>
        </w:rPr>
        <w:t xml:space="preserve"> </w:t>
      </w:r>
      <w:proofErr w:type="spellStart"/>
      <w:r w:rsidR="00900435" w:rsidRPr="007B4836">
        <w:rPr>
          <w:rFonts w:ascii="Tw Cen MT" w:hAnsi="Tw Cen MT"/>
          <w:sz w:val="20"/>
          <w:szCs w:val="20"/>
        </w:rPr>
        <w:t>Mekelle</w:t>
      </w:r>
      <w:proofErr w:type="spellEnd"/>
      <w:r w:rsidR="00900435" w:rsidRPr="007B4836">
        <w:rPr>
          <w:rFonts w:ascii="Tw Cen MT" w:hAnsi="Tw Cen MT"/>
          <w:sz w:val="20"/>
          <w:szCs w:val="20"/>
        </w:rPr>
        <w:t xml:space="preserve"> University, Ethiopia in </w:t>
      </w:r>
      <w:r w:rsidRPr="007B4836">
        <w:rPr>
          <w:rFonts w:ascii="Tw Cen MT" w:hAnsi="Tw Cen MT"/>
          <w:sz w:val="20"/>
          <w:szCs w:val="20"/>
        </w:rPr>
        <w:t xml:space="preserve">different academic positions </w:t>
      </w:r>
      <w:r w:rsidR="007372D4" w:rsidRPr="007B4836">
        <w:rPr>
          <w:rFonts w:ascii="Tw Cen MT" w:hAnsi="Tw Cen MT"/>
          <w:sz w:val="20"/>
          <w:szCs w:val="20"/>
        </w:rPr>
        <w:t xml:space="preserve">starting </w:t>
      </w:r>
      <w:r w:rsidR="00900435" w:rsidRPr="007B4836">
        <w:rPr>
          <w:rFonts w:ascii="Tw Cen MT" w:hAnsi="Tw Cen MT"/>
          <w:sz w:val="20"/>
          <w:szCs w:val="20"/>
        </w:rPr>
        <w:t xml:space="preserve">from graduate assistant to </w:t>
      </w:r>
      <w:r w:rsidR="005849A0">
        <w:rPr>
          <w:rFonts w:ascii="Tw Cen MT" w:hAnsi="Tw Cen MT"/>
          <w:sz w:val="20"/>
          <w:szCs w:val="20"/>
        </w:rPr>
        <w:t>senior lecturer</w:t>
      </w:r>
      <w:r w:rsidR="00900435" w:rsidRPr="007B4836">
        <w:rPr>
          <w:rFonts w:ascii="Tw Cen MT" w:hAnsi="Tw Cen MT"/>
          <w:sz w:val="20"/>
          <w:szCs w:val="20"/>
        </w:rPr>
        <w:t xml:space="preserve"> </w:t>
      </w:r>
      <w:r w:rsidRPr="007B4836">
        <w:rPr>
          <w:rFonts w:ascii="Tw Cen MT" w:hAnsi="Tw Cen MT"/>
          <w:sz w:val="20"/>
          <w:szCs w:val="20"/>
        </w:rPr>
        <w:t>before he started his PhD study</w:t>
      </w:r>
      <w:r w:rsidR="006F31DD" w:rsidRPr="007B4836">
        <w:rPr>
          <w:rFonts w:ascii="Tw Cen MT" w:hAnsi="Tw Cen MT"/>
          <w:sz w:val="20"/>
          <w:szCs w:val="20"/>
        </w:rPr>
        <w:t xml:space="preserve"> in Zurich</w:t>
      </w:r>
      <w:r w:rsidRPr="007B4836">
        <w:rPr>
          <w:rFonts w:ascii="Tw Cen MT" w:hAnsi="Tw Cen MT"/>
          <w:sz w:val="20"/>
          <w:szCs w:val="20"/>
        </w:rPr>
        <w:t>. In addition to teaching, he undertook different public health researches as principal</w:t>
      </w:r>
      <w:r w:rsidR="00345817" w:rsidRPr="007B4836">
        <w:rPr>
          <w:rFonts w:ascii="Tw Cen MT" w:hAnsi="Tw Cen MT"/>
          <w:sz w:val="20"/>
          <w:szCs w:val="20"/>
        </w:rPr>
        <w:t xml:space="preserve"> and </w:t>
      </w:r>
      <w:r w:rsidRPr="007B4836">
        <w:rPr>
          <w:rFonts w:ascii="Tw Cen MT" w:hAnsi="Tw Cen MT"/>
          <w:sz w:val="20"/>
          <w:szCs w:val="20"/>
        </w:rPr>
        <w:t>co-investigator</w:t>
      </w:r>
      <w:r w:rsidR="00345817" w:rsidRPr="007B4836">
        <w:rPr>
          <w:rFonts w:ascii="Tw Cen MT" w:hAnsi="Tw Cen MT"/>
          <w:sz w:val="20"/>
          <w:szCs w:val="20"/>
        </w:rPr>
        <w:t>,</w:t>
      </w:r>
      <w:r w:rsidRPr="007B4836">
        <w:rPr>
          <w:rFonts w:ascii="Tw Cen MT" w:hAnsi="Tw Cen MT"/>
          <w:sz w:val="20"/>
          <w:szCs w:val="20"/>
        </w:rPr>
        <w:t xml:space="preserve"> and consultant. He </w:t>
      </w:r>
      <w:r w:rsidR="00900435" w:rsidRPr="007B4836">
        <w:rPr>
          <w:rFonts w:ascii="Tw Cen MT" w:hAnsi="Tw Cen MT"/>
          <w:sz w:val="20"/>
          <w:szCs w:val="20"/>
        </w:rPr>
        <w:t>authored</w:t>
      </w:r>
      <w:r w:rsidRPr="007B4836">
        <w:rPr>
          <w:rFonts w:ascii="Tw Cen MT" w:hAnsi="Tw Cen MT"/>
          <w:sz w:val="20"/>
          <w:szCs w:val="20"/>
        </w:rPr>
        <w:t xml:space="preserve"> </w:t>
      </w:r>
      <w:r w:rsidR="006F31DD" w:rsidRPr="007B4836">
        <w:rPr>
          <w:rFonts w:ascii="Tw Cen MT" w:hAnsi="Tw Cen MT"/>
          <w:sz w:val="20"/>
          <w:szCs w:val="20"/>
        </w:rPr>
        <w:t xml:space="preserve">over </w:t>
      </w:r>
      <w:r w:rsidR="00900435" w:rsidRPr="007B4836">
        <w:rPr>
          <w:rFonts w:ascii="Tw Cen MT" w:hAnsi="Tw Cen MT"/>
          <w:sz w:val="20"/>
          <w:szCs w:val="20"/>
        </w:rPr>
        <w:t>20</w:t>
      </w:r>
      <w:r w:rsidRPr="007B4836">
        <w:rPr>
          <w:rFonts w:ascii="Tw Cen MT" w:hAnsi="Tw Cen MT"/>
          <w:sz w:val="20"/>
          <w:szCs w:val="20"/>
        </w:rPr>
        <w:t xml:space="preserve"> papers </w:t>
      </w:r>
      <w:r w:rsidR="00345817" w:rsidRPr="007B4836">
        <w:rPr>
          <w:rFonts w:ascii="Tw Cen MT" w:hAnsi="Tw Cen MT"/>
          <w:sz w:val="20"/>
          <w:szCs w:val="20"/>
        </w:rPr>
        <w:t>on</w:t>
      </w:r>
      <w:r w:rsidRPr="007B4836">
        <w:rPr>
          <w:rFonts w:ascii="Tw Cen MT" w:hAnsi="Tw Cen MT"/>
          <w:sz w:val="20"/>
          <w:szCs w:val="20"/>
        </w:rPr>
        <w:t xml:space="preserve"> </w:t>
      </w:r>
      <w:r w:rsidR="00345817" w:rsidRPr="007B4836">
        <w:rPr>
          <w:rFonts w:ascii="Tw Cen MT" w:hAnsi="Tw Cen MT"/>
          <w:sz w:val="20"/>
          <w:szCs w:val="20"/>
        </w:rPr>
        <w:t xml:space="preserve">internationally reputed </w:t>
      </w:r>
      <w:r w:rsidRPr="007B4836">
        <w:rPr>
          <w:rFonts w:ascii="Tw Cen MT" w:hAnsi="Tw Cen MT"/>
          <w:sz w:val="20"/>
          <w:szCs w:val="20"/>
        </w:rPr>
        <w:t xml:space="preserve">journals. </w:t>
      </w:r>
      <w:r w:rsidRPr="007B4836">
        <w:rPr>
          <w:rFonts w:ascii="Tw Cen MT" w:hAnsi="Tw Cen MT"/>
          <w:sz w:val="20"/>
          <w:szCs w:val="20"/>
        </w:rPr>
        <w:br/>
      </w:r>
      <w:r w:rsidR="006F31DD" w:rsidRPr="007B4836">
        <w:rPr>
          <w:rFonts w:ascii="Tw Cen MT" w:hAnsi="Tw Cen MT"/>
          <w:b/>
          <w:sz w:val="20"/>
          <w:szCs w:val="20"/>
          <w:lang w:val="en-NZ"/>
        </w:rPr>
        <w:t xml:space="preserve">E-mail: </w:t>
      </w:r>
      <w:hyperlink r:id="rId11" w:history="1">
        <w:r w:rsidR="006F31DD" w:rsidRPr="007B4836">
          <w:rPr>
            <w:rStyle w:val="Hyperlink"/>
            <w:rFonts w:ascii="Tw Cen MT" w:hAnsi="Tw Cen MT"/>
            <w:sz w:val="20"/>
            <w:szCs w:val="20"/>
            <w:lang w:val="en-NZ"/>
          </w:rPr>
          <w:t>henock.yebyo@uzh.ch</w:t>
        </w:r>
      </w:hyperlink>
      <w:r w:rsidR="006F31DD" w:rsidRPr="007B4836">
        <w:rPr>
          <w:rFonts w:ascii="Tw Cen MT" w:hAnsi="Tw Cen MT"/>
          <w:b/>
          <w:sz w:val="20"/>
          <w:szCs w:val="20"/>
          <w:lang w:val="en-NZ"/>
        </w:rPr>
        <w:t xml:space="preserve"> </w:t>
      </w:r>
      <w:bookmarkStart w:id="0" w:name="_GoBack"/>
      <w:bookmarkEnd w:id="0"/>
    </w:p>
    <w:sectPr w:rsidR="005C5FB1" w:rsidRPr="0001337A" w:rsidSect="00305B14">
      <w:type w:val="continuous"/>
      <w:pgSz w:w="11900" w:h="16840"/>
      <w:pgMar w:top="709" w:right="1021" w:bottom="709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81960B" w14:textId="77777777" w:rsidR="00305B14" w:rsidRDefault="00305B14" w:rsidP="00345817">
      <w:pPr>
        <w:spacing w:after="0" w:line="240" w:lineRule="auto"/>
      </w:pPr>
      <w:r>
        <w:separator/>
      </w:r>
    </w:p>
  </w:endnote>
  <w:endnote w:type="continuationSeparator" w:id="0">
    <w:p w14:paraId="55CE5BF3" w14:textId="77777777" w:rsidR="00305B14" w:rsidRDefault="00305B14" w:rsidP="00345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calaLancetPro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3BB62E" w14:textId="7AE56BB1" w:rsidR="00305B14" w:rsidRDefault="00305B14">
    <w:pPr>
      <w:pStyle w:val="Footer"/>
      <w:jc w:val="right"/>
    </w:pPr>
  </w:p>
  <w:p w14:paraId="6BC8ED7B" w14:textId="77777777" w:rsidR="00305B14" w:rsidRDefault="00305B1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CE6EAC" w14:textId="77777777" w:rsidR="00305B14" w:rsidRDefault="00305B14" w:rsidP="00345817">
      <w:pPr>
        <w:spacing w:after="0" w:line="240" w:lineRule="auto"/>
      </w:pPr>
      <w:r>
        <w:separator/>
      </w:r>
    </w:p>
  </w:footnote>
  <w:footnote w:type="continuationSeparator" w:id="0">
    <w:p w14:paraId="63CE6720" w14:textId="77777777" w:rsidR="00305B14" w:rsidRDefault="00305B14" w:rsidP="00345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16EE0"/>
    <w:multiLevelType w:val="hybridMultilevel"/>
    <w:tmpl w:val="A7168A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8BD"/>
    <w:rsid w:val="0001337A"/>
    <w:rsid w:val="000208BD"/>
    <w:rsid w:val="00050628"/>
    <w:rsid w:val="000F1638"/>
    <w:rsid w:val="00116064"/>
    <w:rsid w:val="00167A51"/>
    <w:rsid w:val="00190683"/>
    <w:rsid w:val="00207056"/>
    <w:rsid w:val="002969FC"/>
    <w:rsid w:val="00305B14"/>
    <w:rsid w:val="00345817"/>
    <w:rsid w:val="00360635"/>
    <w:rsid w:val="003661F7"/>
    <w:rsid w:val="00366D4B"/>
    <w:rsid w:val="003B022F"/>
    <w:rsid w:val="00527404"/>
    <w:rsid w:val="005734D3"/>
    <w:rsid w:val="005849A0"/>
    <w:rsid w:val="005C5FB1"/>
    <w:rsid w:val="006204F2"/>
    <w:rsid w:val="00627145"/>
    <w:rsid w:val="006E1127"/>
    <w:rsid w:val="006E4D83"/>
    <w:rsid w:val="006F31DD"/>
    <w:rsid w:val="007372D4"/>
    <w:rsid w:val="007B4836"/>
    <w:rsid w:val="00900435"/>
    <w:rsid w:val="0091180D"/>
    <w:rsid w:val="009D7CAE"/>
    <w:rsid w:val="009E1DD3"/>
    <w:rsid w:val="00B32BC3"/>
    <w:rsid w:val="00B66BA4"/>
    <w:rsid w:val="00C65998"/>
    <w:rsid w:val="00C952DD"/>
    <w:rsid w:val="00DF4C0A"/>
    <w:rsid w:val="00E9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48704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8BD"/>
    <w:pPr>
      <w:spacing w:after="160" w:line="259" w:lineRule="auto"/>
    </w:pPr>
    <w:rPr>
      <w:rFonts w:eastAsiaTheme="minorHAnsi"/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208BD"/>
  </w:style>
  <w:style w:type="paragraph" w:styleId="Footer">
    <w:name w:val="footer"/>
    <w:basedOn w:val="Normal"/>
    <w:link w:val="FooterChar"/>
    <w:uiPriority w:val="99"/>
    <w:unhideWhenUsed/>
    <w:rsid w:val="006E11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127"/>
    <w:rPr>
      <w:rFonts w:eastAsiaTheme="minorHAnsi"/>
      <w:kern w:val="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458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817"/>
    <w:rPr>
      <w:rFonts w:eastAsiaTheme="minorHAnsi"/>
      <w:kern w:val="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14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145"/>
    <w:rPr>
      <w:rFonts w:ascii="Lucida Grande" w:eastAsiaTheme="minorHAnsi" w:hAnsi="Lucida Grande" w:cs="Lucida Grande"/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31D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4836"/>
    <w:pPr>
      <w:spacing w:after="0" w:line="240" w:lineRule="auto"/>
      <w:ind w:left="720"/>
      <w:contextualSpacing/>
    </w:pPr>
    <w:rPr>
      <w:rFonts w:eastAsiaTheme="minorEastAsia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8BD"/>
    <w:pPr>
      <w:spacing w:after="160" w:line="259" w:lineRule="auto"/>
    </w:pPr>
    <w:rPr>
      <w:rFonts w:eastAsiaTheme="minorHAnsi"/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208BD"/>
  </w:style>
  <w:style w:type="paragraph" w:styleId="Footer">
    <w:name w:val="footer"/>
    <w:basedOn w:val="Normal"/>
    <w:link w:val="FooterChar"/>
    <w:uiPriority w:val="99"/>
    <w:unhideWhenUsed/>
    <w:rsid w:val="006E11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127"/>
    <w:rPr>
      <w:rFonts w:eastAsiaTheme="minorHAnsi"/>
      <w:kern w:val="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458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817"/>
    <w:rPr>
      <w:rFonts w:eastAsiaTheme="minorHAnsi"/>
      <w:kern w:val="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14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145"/>
    <w:rPr>
      <w:rFonts w:ascii="Lucida Grande" w:eastAsiaTheme="minorHAnsi" w:hAnsi="Lucida Grande" w:cs="Lucida Grande"/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31D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4836"/>
    <w:pPr>
      <w:spacing w:after="0" w:line="240" w:lineRule="auto"/>
      <w:ind w:left="720"/>
      <w:contextualSpacing/>
    </w:pPr>
    <w:rPr>
      <w:rFonts w:eastAsiaTheme="minorEastAsia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1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henock.yebyo@uzh.ch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764</Words>
  <Characters>4358</Characters>
  <Application>Microsoft Macintosh Word</Application>
  <DocSecurity>0</DocSecurity>
  <Lines>36</Lines>
  <Paragraphs>10</Paragraphs>
  <ScaleCrop>false</ScaleCrop>
  <Company>University of Zurich</Company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Henock Yebyo</dc:creator>
  <cp:keywords/>
  <dc:description/>
  <cp:lastModifiedBy>Henock Yebyo</cp:lastModifiedBy>
  <cp:revision>12</cp:revision>
  <dcterms:created xsi:type="dcterms:W3CDTF">2016-11-28T18:14:00Z</dcterms:created>
  <dcterms:modified xsi:type="dcterms:W3CDTF">2016-12-13T11:38:00Z</dcterms:modified>
</cp:coreProperties>
</file>