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E2B" w:rsidRPr="00685E2B" w:rsidRDefault="00685E2B" w:rsidP="00685E2B">
      <w:pPr>
        <w:shd w:val="clear" w:color="auto" w:fill="FFFFFF"/>
        <w:spacing w:before="161" w:line="438" w:lineRule="atLeast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18"/>
          <w:szCs w:val="18"/>
        </w:rPr>
      </w:pPr>
      <w:r w:rsidRPr="00685E2B">
        <w:rPr>
          <w:rFonts w:ascii="Times New Roman" w:eastAsia="Times New Roman" w:hAnsi="Times New Roman" w:cs="Times New Roman"/>
          <w:b/>
          <w:bCs/>
          <w:color w:val="333333"/>
          <w:kern w:val="36"/>
          <w:sz w:val="18"/>
          <w:szCs w:val="18"/>
        </w:rPr>
        <w:t>Trends Driving Clinical Trial Innovation</w:t>
      </w:r>
    </w:p>
    <w:p w:rsidR="00685E2B" w:rsidRPr="00685E2B" w:rsidRDefault="00685E2B" w:rsidP="00685E2B">
      <w:pPr>
        <w:pStyle w:val="Heading2"/>
        <w:spacing w:before="0"/>
        <w:jc w:val="both"/>
        <w:rPr>
          <w:rFonts w:ascii="Times New Roman" w:hAnsi="Times New Roman" w:cs="Times New Roman"/>
          <w:bCs w:val="0"/>
          <w:color w:val="auto"/>
          <w:sz w:val="16"/>
          <w:szCs w:val="16"/>
          <w:shd w:val="clear" w:color="auto" w:fill="FFFFFF"/>
        </w:rPr>
      </w:pPr>
      <w:r w:rsidRPr="00685E2B">
        <w:rPr>
          <w:rFonts w:ascii="Times New Roman" w:hAnsi="Times New Roman" w:cs="Times New Roman"/>
          <w:bCs w:val="0"/>
          <w:color w:val="auto"/>
          <w:sz w:val="16"/>
          <w:szCs w:val="16"/>
          <w:shd w:val="clear" w:color="auto" w:fill="FFFFFF"/>
        </w:rPr>
        <w:t xml:space="preserve">DR.ANIL BATTA </w:t>
      </w:r>
    </w:p>
    <w:p w:rsidR="00685E2B" w:rsidRPr="00685E2B" w:rsidRDefault="00685E2B" w:rsidP="00685E2B">
      <w:pPr>
        <w:pStyle w:val="Heading2"/>
        <w:spacing w:before="0"/>
        <w:jc w:val="both"/>
        <w:rPr>
          <w:rFonts w:ascii="Times New Roman" w:hAnsi="Times New Roman" w:cs="Times New Roman"/>
          <w:bCs w:val="0"/>
          <w:color w:val="auto"/>
          <w:sz w:val="16"/>
          <w:szCs w:val="16"/>
          <w:shd w:val="clear" w:color="auto" w:fill="FFFFFF"/>
        </w:rPr>
      </w:pPr>
      <w:r w:rsidRPr="00685E2B">
        <w:rPr>
          <w:rFonts w:ascii="Times New Roman" w:hAnsi="Times New Roman" w:cs="Times New Roman"/>
          <w:bCs w:val="0"/>
          <w:color w:val="auto"/>
          <w:sz w:val="16"/>
          <w:szCs w:val="16"/>
          <w:shd w:val="clear" w:color="auto" w:fill="FFFFFF"/>
        </w:rPr>
        <w:t xml:space="preserve">ASSOC. PROFESSOR, DEPARTMENT OF MEDICAL BIOCHEMISTRY </w:t>
      </w:r>
    </w:p>
    <w:p w:rsidR="00685E2B" w:rsidRPr="00685E2B" w:rsidRDefault="00685E2B" w:rsidP="00685E2B">
      <w:pPr>
        <w:pStyle w:val="NormalWeb"/>
        <w:spacing w:before="0" w:beforeAutospacing="0" w:after="240" w:afterAutospacing="0"/>
        <w:jc w:val="both"/>
        <w:rPr>
          <w:b/>
          <w:sz w:val="16"/>
          <w:szCs w:val="16"/>
        </w:rPr>
      </w:pPr>
      <w:r w:rsidRPr="00685E2B">
        <w:rPr>
          <w:b/>
          <w:sz w:val="16"/>
          <w:szCs w:val="16"/>
          <w:shd w:val="clear" w:color="auto" w:fill="FFFFFF"/>
        </w:rPr>
        <w:t>GOVT. MEDICAL   COLLEGE, AMRITSAR</w:t>
      </w:r>
    </w:p>
    <w:p w:rsidR="00685E2B" w:rsidRPr="00685E2B" w:rsidRDefault="00685E2B" w:rsidP="00685E2B">
      <w:pPr>
        <w:pStyle w:val="NormalWeb"/>
        <w:shd w:val="clear" w:color="auto" w:fill="FFFFFF"/>
        <w:spacing w:before="0" w:beforeAutospacing="0" w:after="250" w:afterAutospacing="0" w:line="360" w:lineRule="auto"/>
        <w:jc w:val="both"/>
        <w:rPr>
          <w:color w:val="333333"/>
          <w:sz w:val="20"/>
          <w:szCs w:val="20"/>
        </w:rPr>
      </w:pPr>
      <w:r w:rsidRPr="00685E2B">
        <w:rPr>
          <w:color w:val="333333"/>
          <w:sz w:val="20"/>
          <w:szCs w:val="20"/>
        </w:rPr>
        <w:t>With the rise in emerging technologies and advancements, the pharmaceutical and life sciences industry is rapidly going through transformation, where organizations are dependent on successful drug or pharmaceutical-related launches to drive profitability and growth. A recent study showed that two-thirds of a sample of 210 launches failed to meet pre-launch consensus sales expectations for their first year on the market. Coupled with evolving consumer experiences, business models and marketing approaches – organizations, specifically brand launch teams and marketing agencies, need to work together and refocus their strategies in order to cater to this shift and ensure a successful launch. As clinical trials teams attempt to embrace these changes, the broader healthcare system is also racing to deliver value in a digital environment marked by an increased focus on automation, measurement and performance. Companies can succeed at getting a launch right the first time by focusing on five key trends and critical areas that will drive launch success and innovation: on-demand services, scalable and flexible platforms, B2B disruption, measurement that matters, and a state of constant innovation.</w:t>
      </w:r>
    </w:p>
    <w:p w:rsidR="006F4F98" w:rsidRDefault="006F4F98"/>
    <w:sectPr w:rsidR="006F4F98" w:rsidSect="006F4F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85E2B"/>
    <w:rsid w:val="00685E2B"/>
    <w:rsid w:val="006F4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F98"/>
  </w:style>
  <w:style w:type="paragraph" w:styleId="Heading1">
    <w:name w:val="heading 1"/>
    <w:basedOn w:val="Normal"/>
    <w:link w:val="Heading1Char"/>
    <w:uiPriority w:val="9"/>
    <w:qFormat/>
    <w:rsid w:val="00685E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E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85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85E2B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85E2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5E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7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Dr.Batta</dc:creator>
  <cp:lastModifiedBy>Dr.Batta</cp:lastModifiedBy>
  <cp:revision>1</cp:revision>
  <dcterms:created xsi:type="dcterms:W3CDTF">2018-02-27T17:51:00Z</dcterms:created>
  <dcterms:modified xsi:type="dcterms:W3CDTF">2018-02-27T17:57:00Z</dcterms:modified>
</cp:coreProperties>
</file>