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Lines="0" w:afterLines="0"/>
        <w:jc w:val="left"/>
        <w:rPr>
          <w:rFonts w:hint="default" w:ascii="Agfa Rotis Sans Serif" w:hAnsi="Agfa Rotis Sans Serif" w:eastAsia="Agfa Rotis Sans Serif"/>
          <w:b/>
          <w:bCs/>
          <w:color w:val="000000"/>
          <w:sz w:val="24"/>
        </w:rPr>
      </w:pPr>
      <w:r>
        <w:rPr>
          <w:rFonts w:hint="default" w:ascii="Arial" w:hAnsi="Arial" w:cs="Arial"/>
          <w:b/>
          <w:bCs/>
          <w:sz w:val="22"/>
          <w:szCs w:val="22"/>
        </w:rPr>
        <w:t>Medicating autism: Factors affecting the</w:t>
      </w:r>
      <w:r>
        <w:rPr>
          <w:rFonts w:hint="default" w:ascii="Arial" w:hAnsi="Arial" w:cs="Arial"/>
          <w:b/>
          <w:bCs/>
          <w:sz w:val="22"/>
          <w:szCs w:val="22"/>
          <w:lang w:val="en-US"/>
        </w:rPr>
        <w:t xml:space="preserve"> de</w:t>
      </w:r>
      <w:r>
        <w:rPr>
          <w:rFonts w:hint="default" w:ascii="Arial" w:hAnsi="Arial" w:cs="Arial"/>
          <w:b/>
          <w:bCs/>
          <w:sz w:val="22"/>
          <w:szCs w:val="22"/>
        </w:rPr>
        <w:t xml:space="preserve">cision of parents regarding the use of psychotropic medicine for their children diagnosed with autism </w:t>
      </w:r>
    </w:p>
    <w:p>
      <w:pPr>
        <w:pStyle w:val="6"/>
        <w:spacing w:before="73" w:line="198" w:lineRule="exact"/>
        <w:ind w:left="100" w:right="5987"/>
        <w:rPr>
          <w:rFonts w:hint="default" w:ascii="Agfa Rotis Sans Serif" w:hAnsi="Agfa Rotis Sans Serif" w:eastAsia="Agfa Rotis Sans Serif"/>
          <w:color w:val="000000"/>
          <w:sz w:val="48"/>
        </w:rPr>
      </w:pPr>
      <w:r>
        <w:rPr>
          <w:rFonts w:hint="default" w:ascii="Agfa Rotis Sans Serif" w:hAnsi="Agfa Rotis Sans Serif" w:eastAsia="Agfa Rotis Sans Serif"/>
          <w:color w:val="000000"/>
          <w:sz w:val="24"/>
        </w:rPr>
        <w:t xml:space="preserve"> </w:t>
      </w:r>
    </w:p>
    <w:p>
      <w:pPr>
        <w:pStyle w:val="6"/>
        <w:rPr>
          <w:rFonts w:ascii="Arial"/>
          <w:sz w:val="20"/>
        </w:rPr>
      </w:pPr>
      <w:r>
        <w:rPr>
          <w:rFonts w:ascii="Arial"/>
          <w:lang w:val="en-US"/>
        </w:rPr>
        <w:t>John Robert C. Rilveria, University of the Philippines Diliman</w:t>
      </w:r>
    </w:p>
    <w:p>
      <w:pPr>
        <w:pStyle w:val="6"/>
        <w:spacing w:before="3"/>
        <w:rPr>
          <w:rFonts w:ascii="Arial"/>
          <w:sz w:val="21"/>
        </w:rPr>
      </w:pPr>
    </w:p>
    <w:p>
      <w:pPr>
        <w:rPr>
          <w:rFonts w:ascii="Arial"/>
          <w:sz w:val="21"/>
        </w:rPr>
        <w:sectPr>
          <w:headerReference r:id="rId3" w:type="default"/>
          <w:footerReference r:id="rId4" w:type="default"/>
          <w:type w:val="continuous"/>
          <w:pgSz w:w="11910" w:h="16840"/>
          <w:pgMar w:top="1740" w:right="600" w:bottom="840" w:left="620" w:header="541" w:footer="642" w:gutter="0"/>
          <w:cols w:space="720" w:num="1"/>
        </w:sectPr>
      </w:pPr>
    </w:p>
    <w:p>
      <w:pPr>
        <w:pStyle w:val="4"/>
        <w:spacing w:before="147"/>
        <w:jc w:val="both"/>
        <w:rPr>
          <w:rFonts w:hint="default" w:ascii="Slabo 27px" w:hAnsi="Slabo 27px" w:eastAsia="Slabo 27px"/>
          <w:color w:val="000000"/>
          <w:sz w:val="24"/>
        </w:rPr>
      </w:pPr>
      <w:r>
        <w:rPr>
          <w:color w:val="BF5A14"/>
        </w:rPr>
        <w:t>Abstract (300 word limit)</w:t>
      </w:r>
    </w:p>
    <w:p>
      <w:pPr>
        <w:pStyle w:val="4"/>
        <w:spacing w:before="74"/>
        <w:rPr>
          <w:rFonts w:hint="default" w:ascii="Slabo 27px" w:hAnsi="Slabo 27px" w:eastAsia="Slabo 27px"/>
          <w:color w:val="000000"/>
          <w:sz w:val="15"/>
          <w:szCs w:val="11"/>
        </w:rPr>
      </w:pPr>
      <w:r>
        <w:rPr>
          <w:rFonts w:hint="default" w:ascii="Slabo 27px" w:hAnsi="Slabo 27px" w:eastAsia="Slabo 27px"/>
          <w:color w:val="000000"/>
          <w:sz w:val="24"/>
        </w:rPr>
        <w:t xml:space="preserve"> </w:t>
      </w:r>
      <w:r>
        <w:rPr>
          <w:rFonts w:hint="default" w:ascii="Slabo 27px" w:hAnsi="Slabo 27px" w:eastAsia="Slabo 27px"/>
          <w:color w:val="000000"/>
          <w:sz w:val="15"/>
          <w:szCs w:val="11"/>
        </w:rPr>
        <w:t>This paper utili</w:t>
      </w:r>
      <w:r>
        <w:rPr>
          <w:rFonts w:hint="default" w:ascii="Slabo 27px" w:hAnsi="Slabo 27px" w:eastAsia="Slabo 27px"/>
          <w:color w:val="000000"/>
          <w:sz w:val="15"/>
          <w:szCs w:val="11"/>
          <w:lang w:val="en-US"/>
        </w:rPr>
        <w:t>z</w:t>
      </w:r>
      <w:r>
        <w:rPr>
          <w:rFonts w:hint="default" w:ascii="Slabo 27px" w:hAnsi="Slabo 27px" w:eastAsia="Slabo 27px"/>
          <w:color w:val="000000"/>
          <w:sz w:val="15"/>
          <w:szCs w:val="11"/>
        </w:rPr>
        <w:t>ed a sequential explanatory mixed-methods design comparing the experiences of 17 parents who use</w:t>
      </w:r>
      <w:r>
        <w:rPr>
          <w:rFonts w:hint="default" w:ascii="Slabo 27px" w:hAnsi="Slabo 27px" w:eastAsia="Slabo 27px"/>
          <w:color w:val="000000"/>
          <w:sz w:val="15"/>
          <w:szCs w:val="11"/>
          <w:lang w:val="en-US"/>
        </w:rPr>
        <w:t>,</w:t>
      </w:r>
      <w:r>
        <w:rPr>
          <w:rFonts w:hint="default" w:ascii="Slabo 27px" w:hAnsi="Slabo 27px" w:eastAsia="Slabo 27px"/>
          <w:color w:val="000000"/>
          <w:sz w:val="15"/>
          <w:szCs w:val="11"/>
        </w:rPr>
        <w:t xml:space="preserve"> and 23 parents who do not use psychotropic medicine </w:t>
      </w:r>
      <w:r>
        <w:rPr>
          <w:rFonts w:hint="default" w:ascii="Slabo 27px" w:hAnsi="Slabo 27px" w:eastAsia="Slabo 27px"/>
          <w:color w:val="000000"/>
          <w:sz w:val="15"/>
          <w:szCs w:val="11"/>
          <w:lang w:val="en-US"/>
        </w:rPr>
        <w:t xml:space="preserve">that were prescribed </w:t>
      </w:r>
      <w:r>
        <w:rPr>
          <w:rFonts w:hint="default" w:ascii="Slabo 27px" w:hAnsi="Slabo 27px" w:eastAsia="Slabo 27px"/>
          <w:color w:val="000000"/>
          <w:sz w:val="15"/>
          <w:szCs w:val="11"/>
        </w:rPr>
        <w:t xml:space="preserve">for their children diagnosed with autism. The main objective is to identify the factors influencing their decision-making process. Quantitative analyses revealed that attitude towards treatment significantly differentiates parents who use (with more positive attitude levels) and parents who do not use (with more negative attitude levels) prescribed medicines. Furthermore, treatment attitude has been found to have significant association with three treatment decision variables. There was a low negative correlation with treatment cost and a high positive correlation with treatment belief and perceived behavior severity. In the qualitative analysis, six factors were identified that influenced parents’ decision to use or not to use medicine: (1) perceived mental health condition; (2) perception towards autism diagnosis; (3) doctor’s prescription and recommendation; (4) beliefs and attitudes towards treatment; </w:t>
      </w:r>
      <w:r>
        <w:rPr>
          <w:rFonts w:hint="default" w:ascii="Slabo 27px" w:hAnsi="Slabo 27px" w:eastAsia="Slabo 27px"/>
          <w:color w:val="000000"/>
          <w:sz w:val="15"/>
          <w:szCs w:val="11"/>
          <w:lang w:val="en-US"/>
        </w:rPr>
        <w:t xml:space="preserve">and </w:t>
      </w:r>
      <w:r>
        <w:rPr>
          <w:rFonts w:hint="default" w:ascii="Slabo 27px" w:hAnsi="Slabo 27px" w:eastAsia="Slabo 27px"/>
          <w:color w:val="000000"/>
          <w:sz w:val="15"/>
          <w:szCs w:val="11"/>
        </w:rPr>
        <w:t>(5) perceived necessity and expectation of treatment</w:t>
      </w:r>
      <w:r>
        <w:rPr>
          <w:rFonts w:hint="default" w:ascii="Slabo 27px" w:hAnsi="Slabo 27px" w:eastAsia="Slabo 27px"/>
          <w:color w:val="000000"/>
          <w:sz w:val="15"/>
          <w:szCs w:val="11"/>
          <w:lang w:val="en-US"/>
        </w:rPr>
        <w:t xml:space="preserve">. </w:t>
      </w:r>
      <w:r>
        <w:rPr>
          <w:rFonts w:hint="default" w:ascii="Slabo 27px" w:hAnsi="Slabo 27px" w:eastAsia="Slabo 27px"/>
          <w:color w:val="000000"/>
          <w:sz w:val="15"/>
          <w:szCs w:val="11"/>
        </w:rPr>
        <w:t xml:space="preserve"> </w:t>
      </w:r>
      <w:r>
        <w:rPr>
          <w:rFonts w:hint="default" w:ascii="Slabo 27px" w:hAnsi="Slabo 27px" w:eastAsia="Slabo 27px"/>
          <w:color w:val="000000"/>
          <w:sz w:val="15"/>
          <w:szCs w:val="11"/>
          <w:lang w:val="en-US"/>
        </w:rPr>
        <w:t xml:space="preserve">Furthermore, the </w:t>
      </w:r>
      <w:r>
        <w:rPr>
          <w:rFonts w:hint="default" w:ascii="Slabo 27px" w:hAnsi="Slabo 27px" w:eastAsia="Slabo 27px"/>
          <w:color w:val="000000"/>
          <w:sz w:val="15"/>
          <w:szCs w:val="11"/>
        </w:rPr>
        <w:t xml:space="preserve">decision </w:t>
      </w:r>
      <w:r>
        <w:rPr>
          <w:rFonts w:hint="default" w:ascii="Slabo 27px" w:hAnsi="Slabo 27px" w:eastAsia="Slabo 27px"/>
          <w:color w:val="000000"/>
          <w:sz w:val="15"/>
          <w:szCs w:val="11"/>
          <w:lang w:val="en-US"/>
        </w:rPr>
        <w:t>to continue using or not using psychotropic medicine is influenced by:</w:t>
      </w:r>
      <w:r>
        <w:rPr>
          <w:rFonts w:hint="default" w:ascii="Slabo 27px" w:hAnsi="Slabo 27px" w:eastAsia="Slabo 27px"/>
          <w:color w:val="000000"/>
          <w:sz w:val="15"/>
          <w:szCs w:val="11"/>
        </w:rPr>
        <w:t xml:space="preserve"> perceived improvement of the child (from parents who decided to have both therapy and medication and from parents who decided to have only therapy)</w:t>
      </w:r>
      <w:r>
        <w:rPr>
          <w:rFonts w:hint="default" w:ascii="Slabo 27px" w:hAnsi="Slabo 27px" w:eastAsia="Slabo 27px"/>
          <w:color w:val="000000"/>
          <w:sz w:val="15"/>
          <w:szCs w:val="11"/>
          <w:lang w:val="en-US"/>
        </w:rPr>
        <w:t>.</w:t>
      </w:r>
      <w:r>
        <w:rPr>
          <w:rFonts w:hint="default" w:ascii="Slabo 27px" w:hAnsi="Slabo 27px" w:eastAsia="Slabo 27px"/>
          <w:color w:val="000000"/>
          <w:sz w:val="15"/>
          <w:szCs w:val="11"/>
        </w:rPr>
        <w:t xml:space="preserve"> Integrating both the quantitative and qualitative data led to the formulation of a treatment decision model that explains the </w:t>
      </w:r>
      <w:r>
        <w:rPr>
          <w:rFonts w:hint="default" w:ascii="Slabo 27px" w:hAnsi="Slabo 27px" w:eastAsia="Slabo 27px"/>
          <w:color w:val="000000"/>
          <w:sz w:val="15"/>
          <w:szCs w:val="11"/>
          <w:lang w:val="en-US"/>
        </w:rPr>
        <w:t>decision-making process involving</w:t>
      </w:r>
      <w:r>
        <w:rPr>
          <w:rFonts w:hint="default" w:ascii="Slabo 27px" w:hAnsi="Slabo 27px" w:eastAsia="Slabo 27px"/>
          <w:color w:val="000000"/>
          <w:sz w:val="15"/>
          <w:szCs w:val="11"/>
        </w:rPr>
        <w:t xml:space="preserve"> five major variables (child, parent, doctor, decision, and treatment) from which the parent variable, specifically </w:t>
      </w:r>
      <w:r>
        <w:rPr>
          <w:rFonts w:hint="default" w:ascii="Slabo 27px" w:hAnsi="Slabo 27px" w:eastAsia="Slabo 27px"/>
          <w:color w:val="000000"/>
          <w:sz w:val="15"/>
          <w:szCs w:val="11"/>
          <w:lang w:val="en-US"/>
        </w:rPr>
        <w:t xml:space="preserve">parent’s </w:t>
      </w:r>
      <w:r>
        <w:rPr>
          <w:rFonts w:hint="default" w:ascii="Slabo 27px" w:hAnsi="Slabo 27px" w:eastAsia="Slabo 27px"/>
          <w:color w:val="000000"/>
          <w:sz w:val="15"/>
          <w:szCs w:val="11"/>
        </w:rPr>
        <w:t xml:space="preserve">perception and beliefs towards treatment </w:t>
      </w:r>
      <w:r>
        <w:rPr>
          <w:rFonts w:hint="default" w:ascii="Slabo 27px" w:hAnsi="Slabo 27px" w:eastAsia="Slabo 27px"/>
          <w:color w:val="000000"/>
          <w:sz w:val="15"/>
          <w:szCs w:val="11"/>
          <w:lang w:val="en-US"/>
        </w:rPr>
        <w:t>as the factor that contributes the most in</w:t>
      </w:r>
      <w:r>
        <w:rPr>
          <w:rFonts w:hint="default" w:ascii="Slabo 27px" w:hAnsi="Slabo 27px" w:eastAsia="Slabo 27px"/>
          <w:color w:val="000000"/>
          <w:sz w:val="15"/>
          <w:szCs w:val="11"/>
        </w:rPr>
        <w:t xml:space="preserve"> the decision to use on not to use such </w:t>
      </w:r>
      <w:r>
        <w:rPr>
          <w:rFonts w:hint="default" w:ascii="Slabo 27px" w:hAnsi="Slabo 27px" w:eastAsia="Slabo 27px"/>
          <w:color w:val="000000"/>
          <w:sz w:val="15"/>
          <w:szCs w:val="11"/>
          <w:lang w:val="en-US"/>
        </w:rPr>
        <w:t>medicine</w:t>
      </w:r>
      <w:r>
        <w:rPr>
          <w:rFonts w:hint="default" w:ascii="Slabo 27px" w:hAnsi="Slabo 27px" w:eastAsia="Slabo 27px"/>
          <w:color w:val="000000"/>
          <w:sz w:val="15"/>
          <w:szCs w:val="11"/>
        </w:rPr>
        <w:t xml:space="preserve">. </w:t>
      </w:r>
    </w:p>
    <w:p>
      <w:pPr>
        <w:rPr>
          <w:rFonts w:hint="default"/>
        </w:rPr>
      </w:pPr>
    </w:p>
    <w:p>
      <w:pPr>
        <w:spacing w:line="204" w:lineRule="exact"/>
        <w:rPr>
          <w:rFonts w:ascii="Arial"/>
          <w:b/>
          <w:color w:val="BF5A14"/>
          <w:sz w:val="20"/>
        </w:rPr>
      </w:pPr>
      <w:r>
        <w:rPr>
          <w:rFonts w:hint="default" w:ascii="Agfa Rotis Sans Serif" w:hAnsi="Agfa Rotis Sans Serif" w:eastAsia="Agfa Rotis Sans Serif"/>
          <w:color w:val="000000"/>
          <w:sz w:val="24"/>
        </w:rPr>
        <w:t xml:space="preserve"> </w:t>
      </w:r>
      <w:r>
        <w:rPr>
          <w:rFonts w:hint="default" w:ascii="Agfa Rotis Sans Serif" w:hAnsi="Agfa Rotis Sans Serif" w:eastAsia="Agfa Rotis Sans Serif"/>
          <w:color w:val="000000"/>
          <w:sz w:val="16"/>
          <w:szCs w:val="16"/>
        </w:rPr>
        <w:t xml:space="preserve">Keywords: </w:t>
      </w:r>
      <w:r>
        <w:rPr>
          <w:rFonts w:hint="default" w:ascii="Slabo 27px" w:hAnsi="Slabo 27px" w:eastAsia="Slabo 27px"/>
          <w:color w:val="000000"/>
          <w:sz w:val="16"/>
          <w:szCs w:val="16"/>
        </w:rPr>
        <w:t xml:space="preserve">autism, decision-making, psychotropic medicine, treatment attitude, treatment decision </w:t>
      </w:r>
      <w:r>
        <w:rPr>
          <w:rFonts w:ascii="Arial"/>
          <w:b/>
          <w:color w:val="BF5A14"/>
          <w:sz w:val="20"/>
        </w:rPr>
        <w:br w:type="textWrapping"/>
      </w:r>
    </w:p>
    <w:p>
      <w:pPr>
        <w:spacing w:line="204" w:lineRule="exact"/>
        <w:rPr>
          <w:rFonts w:ascii="Arial"/>
          <w:b/>
          <w:color w:val="BF5A14"/>
          <w:sz w:val="20"/>
        </w:rPr>
      </w:pPr>
      <w:r>
        <w:rPr>
          <w:rFonts w:ascii="Arial"/>
          <w:b/>
          <w:color w:val="BF5A14"/>
          <w:sz w:val="20"/>
          <w:lang w:val="en-US"/>
        </w:rPr>
        <w:t>Literature</w:t>
      </w:r>
      <w:r>
        <w:rPr>
          <w:rFonts w:ascii="Arial"/>
          <w:b/>
          <w:color w:val="BF5A14"/>
          <w:sz w:val="20"/>
        </w:rPr>
        <w:t xml:space="preserve"> (minimum 5)</w:t>
      </w:r>
    </w:p>
    <w:p>
      <w:pPr>
        <w:spacing w:line="204" w:lineRule="exact"/>
        <w:rPr>
          <w:rFonts w:ascii="Arial"/>
          <w:b/>
          <w:color w:val="BF5A14"/>
          <w:sz w:val="20"/>
        </w:rPr>
      </w:pPr>
    </w:p>
    <w:p>
      <w:pPr>
        <w:rPr>
          <w:rFonts w:hint="default"/>
          <w:sz w:val="18"/>
          <w:szCs w:val="18"/>
        </w:rPr>
      </w:pPr>
      <w:r>
        <w:rPr>
          <w:rFonts w:hint="default"/>
          <w:sz w:val="18"/>
          <w:szCs w:val="18"/>
        </w:rPr>
        <w:t>Hall, S. E. (2011). Factors affecting parents' decisions to treat their children with autism spectrum disorder with complementary and alternative treatments</w:t>
      </w:r>
      <w:r>
        <w:rPr>
          <w:rFonts w:hint="default"/>
          <w:sz w:val="18"/>
          <w:szCs w:val="18"/>
          <w:lang w:val="en-US"/>
        </w:rPr>
        <w:t xml:space="preserve"> </w:t>
      </w:r>
      <w:r>
        <w:rPr>
          <w:rFonts w:hint="default"/>
          <w:sz w:val="18"/>
          <w:szCs w:val="18"/>
        </w:rPr>
        <w:t>(Order No. 3486097). Available from ProQuest Central; ProQuest Dissertations &amp; Theses Global.</w:t>
      </w:r>
    </w:p>
    <w:p>
      <w:pPr>
        <w:rPr>
          <w:rFonts w:hint="default"/>
          <w:sz w:val="18"/>
          <w:szCs w:val="18"/>
        </w:rPr>
      </w:pPr>
    </w:p>
    <w:p>
      <w:pPr>
        <w:rPr>
          <w:rFonts w:hint="default"/>
          <w:sz w:val="18"/>
          <w:szCs w:val="18"/>
        </w:rPr>
      </w:pPr>
      <w:r>
        <w:rPr>
          <w:rFonts w:hint="default"/>
          <w:sz w:val="18"/>
          <w:szCs w:val="18"/>
        </w:rPr>
        <w:t xml:space="preserve">Logan, S. L. (2013). Psychopharmacotherapy use and adherence in autism spectrum disorders (Order No. 3574581). Available from ProQuest Dissertations &amp; Theses Global. </w:t>
      </w:r>
    </w:p>
    <w:p>
      <w:pPr>
        <w:rPr>
          <w:rFonts w:hint="default"/>
          <w:sz w:val="18"/>
          <w:szCs w:val="18"/>
        </w:rPr>
      </w:pPr>
    </w:p>
    <w:p>
      <w:pPr>
        <w:rPr>
          <w:rFonts w:hint="default"/>
          <w:sz w:val="18"/>
          <w:szCs w:val="18"/>
        </w:rPr>
      </w:pPr>
      <w:r>
        <w:rPr>
          <w:rFonts w:hint="default"/>
          <w:sz w:val="18"/>
          <w:szCs w:val="18"/>
        </w:rPr>
        <w:t xml:space="preserve">Oswald, D. P., &amp; Sonenklar, N. A. (2007). Medication use among children with autism spectrum disorders. Journal of Child and Adolescent Psychopharmacology, 17(3), 348-55. doi:http: 10.1089/cap.2006.17303 </w:t>
      </w:r>
    </w:p>
    <w:p>
      <w:pPr>
        <w:rPr>
          <w:rFonts w:hint="default"/>
          <w:sz w:val="18"/>
          <w:szCs w:val="18"/>
        </w:rPr>
      </w:pPr>
    </w:p>
    <w:p>
      <w:pPr>
        <w:rPr>
          <w:rFonts w:hint="default"/>
          <w:sz w:val="18"/>
          <w:szCs w:val="18"/>
        </w:rPr>
      </w:pPr>
      <w:r>
        <w:rPr>
          <w:rFonts w:hint="default"/>
          <w:sz w:val="18"/>
          <w:szCs w:val="18"/>
        </w:rPr>
        <w:t>Rosenberg, R. E., Mandell, D. S., Farmer, J. E., Law, J. K., Marvin, A. R., &amp; Law, P. A. (2010). Psychotropic medication use among children with autism spectrum disorders enrolled in a national registry, 2007-2008. Journal of Autism and Developmental Disorders, 40(3), 342-51. doi: 10.1007/s10803-009-0878-1</w:t>
      </w:r>
    </w:p>
    <w:p>
      <w:pPr>
        <w:rPr>
          <w:rFonts w:hint="default"/>
          <w:sz w:val="18"/>
          <w:szCs w:val="18"/>
        </w:rPr>
      </w:pPr>
    </w:p>
    <w:p>
      <w:pPr>
        <w:rPr>
          <w:rFonts w:hint="default"/>
          <w:sz w:val="18"/>
          <w:szCs w:val="18"/>
        </w:rPr>
      </w:pPr>
      <w:r>
        <w:rPr>
          <w:rFonts w:hint="default"/>
          <w:sz w:val="18"/>
          <w:szCs w:val="18"/>
        </w:rPr>
        <w:t xml:space="preserve">Siegel, M., &amp; Beaulieu, A. A. (2012). Psychotropic medications in children with autism spectrum disorders: A systematic review and synthesis for evidence-based practice. Journal of Autism and Developmental Disorders, 42(8), 1592-605. doi: 10.1007/s10803-011-1399-2  </w:t>
      </w:r>
    </w:p>
    <w:p>
      <w:pPr>
        <w:rPr>
          <w:rFonts w:ascii="Calibri" w:hAnsi="Calibri"/>
        </w:rPr>
      </w:pPr>
      <w:r>
        <w:rPr>
          <w:rFonts w:hint="default"/>
          <w:sz w:val="18"/>
          <w:szCs w:val="18"/>
        </w:rPr>
        <w:t xml:space="preserve"> </w:t>
      </w:r>
    </w:p>
    <w:p>
      <w:pPr>
        <w:tabs>
          <w:tab w:val="left" w:pos="384"/>
        </w:tabs>
        <w:ind w:right="117"/>
      </w:pPr>
    </w:p>
    <w:p>
      <w:pPr>
        <w:spacing w:line="200" w:lineRule="exact"/>
        <w:jc w:val="both"/>
        <w:rPr>
          <w:rFonts w:ascii="Calibri" w:hAnsi="Calibri"/>
        </w:rPr>
        <w:sectPr>
          <w:type w:val="continuous"/>
          <w:pgSz w:w="11910" w:h="16840"/>
          <w:pgMar w:top="1740" w:right="600" w:bottom="840" w:left="620" w:header="720" w:footer="720" w:gutter="0"/>
          <w:cols w:equalWidth="0" w:num="2">
            <w:col w:w="5214" w:space="138"/>
            <w:col w:w="5338"/>
          </w:cols>
        </w:sectPr>
      </w:pPr>
      <w:r>
        <w:rPr>
          <w:rFonts w:ascii="Calibri" w:hAnsi="Calibri"/>
        </w:rPr>
        <w:t xml:space="preserve">   </w:t>
      </w:r>
    </w:p>
    <w:p>
      <w:pPr>
        <w:pStyle w:val="6"/>
        <w:rPr>
          <w:rFonts w:ascii="Calibri"/>
          <w:sz w:val="20"/>
        </w:rPr>
      </w:pPr>
    </w:p>
    <w:p>
      <w:pPr>
        <w:pStyle w:val="6"/>
        <w:rPr>
          <w:rFonts w:ascii="Calibri"/>
          <w:sz w:val="20"/>
        </w:rPr>
      </w:pPr>
    </w:p>
    <w:p>
      <w:pPr>
        <w:pStyle w:val="6"/>
        <w:spacing w:line="40" w:lineRule="exact"/>
        <w:ind w:left="2202"/>
        <w:rPr>
          <w:rFonts w:ascii="Calibri"/>
          <w:sz w:val="4"/>
        </w:rPr>
      </w:pPr>
      <w:r>
        <w:rPr>
          <w:rFonts w:ascii="Calibri"/>
          <w:sz w:val="4"/>
          <w:lang w:val="en-IN" w:eastAsia="en-IN"/>
        </w:rPr>
        <mc:AlternateContent>
          <mc:Choice Requires="wpg">
            <w:drawing>
              <wp:inline distT="0" distB="0" distL="0" distR="0">
                <wp:extent cx="3975735" cy="25400"/>
                <wp:effectExtent l="1270" t="0" r="4445" b="3175"/>
                <wp:docPr id="14" name="Group 4"/>
                <wp:cNvGraphicFramePr/>
                <a:graphic xmlns:a="http://schemas.openxmlformats.org/drawingml/2006/main">
                  <a:graphicData uri="http://schemas.microsoft.com/office/word/2010/wordprocessingGroup">
                    <wpg:wgp>
                      <wpg:cNvGrpSpPr/>
                      <wpg:grpSpPr>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ln>
                        </wps:spPr>
                        <wps:bodyPr/>
                      </wps:wsp>
                    </wpg:wgp>
                  </a:graphicData>
                </a:graphic>
              </wp:inline>
            </w:drawing>
          </mc:Choice>
          <mc:Fallback>
            <w:pict>
              <v:group id="Group 4" o:spid="_x0000_s1026" o:spt="203" style="height:2pt;width:313.05pt;" coordsize="6261,40" o:gfxdata="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CZJRBh1AAAAAMBAAAPAAAAAAAAAAEAIAAAACIAAABkcnMvZG93bnJldi54bWxQSwECFAAU&#10;AAAACACHTuJAd/MxkfUBAABHBAAADgAAAAAAAAABACAAAAAjAQAAZHJzL2Uyb0RvYy54bWxQSwUG&#10;AAAAAAYABgBZAQAAigUAAAAA&#10;">
                <o:lock v:ext="edit" aspectratio="f"/>
                <v:line id="Line 5" o:spid="_x0000_s1026" o:spt="20" style="position:absolute;left:20;top:20;height:0;width:6221;" filled="f" stroked="t" coordsize="21600,21600" o:gfxdata="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Al7Txu5AAAA2wAA&#10;AA8AAAAAAAAAAQAgAAAAIgAAAGRycy9kb3ducmV2LnhtbFBLAQIUABQAAAAIAIdO4kAzLwWeOwAA&#10;ADkAAAAQAAAAAAAAAAEAIAAAAAgBAABkcnMvc2hhcGV4bWwueG1sUEsFBgAAAAAGAAYAWwEAALID&#10;AAAAAA==&#10;">
                  <v:fill on="f" focussize="0,0"/>
                  <v:stroke weight="2pt" color="#004080" joinstyle="round"/>
                  <v:imagedata o:title=""/>
                  <o:lock v:ext="edit" aspectratio="f"/>
                </v:line>
                <w10:wrap type="none"/>
                <w10:anchorlock/>
              </v:group>
            </w:pict>
          </mc:Fallback>
        </mc:AlternateContent>
      </w:r>
    </w:p>
    <w:p>
      <w:pPr>
        <w:spacing w:before="92"/>
        <w:ind w:right="4234"/>
      </w:pPr>
      <w:r>
        <w:rPr>
          <w:rFonts w:ascii="Arial"/>
          <w:sz w:val="29"/>
          <w:lang w:val="en-US"/>
        </w:rPr>
        <w:drawing>
          <wp:anchor distT="0" distB="0" distL="114300" distR="114300" simplePos="0" relativeHeight="3072" behindDoc="0" locked="0" layoutInCell="1" allowOverlap="1">
            <wp:simplePos x="0" y="0"/>
            <wp:positionH relativeFrom="column">
              <wp:posOffset>253365</wp:posOffset>
            </wp:positionH>
            <wp:positionV relativeFrom="paragraph">
              <wp:posOffset>2540</wp:posOffset>
            </wp:positionV>
            <wp:extent cx="716915" cy="616585"/>
            <wp:effectExtent l="0" t="0" r="14605" b="8255"/>
            <wp:wrapNone/>
            <wp:docPr id="2" name="Picture 2" descr="11401460_1072358926126502_2817993193426236244_n (2)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11401460_1072358926126502_2817993193426236244_n (2) (1)"/>
                    <pic:cNvPicPr>
                      <a:picLocks noChangeAspect="1"/>
                    </pic:cNvPicPr>
                  </pic:nvPicPr>
                  <pic:blipFill>
                    <a:blip r:embed="rId6"/>
                    <a:srcRect b="34779"/>
                    <a:stretch>
                      <a:fillRect/>
                    </a:stretch>
                  </pic:blipFill>
                  <pic:spPr>
                    <a:xfrm>
                      <a:off x="0" y="0"/>
                      <a:ext cx="716915" cy="616585"/>
                    </a:xfrm>
                    <a:prstGeom prst="rect">
                      <a:avLst/>
                    </a:prstGeom>
                  </pic:spPr>
                </pic:pic>
              </a:graphicData>
            </a:graphic>
          </wp:anchor>
        </w:drawing>
      </w:r>
      <w:r>
        <w:t xml:space="preserve">              </w:t>
      </w:r>
    </w:p>
    <w:p>
      <w:pPr>
        <w:spacing w:before="92"/>
        <w:ind w:right="4234"/>
      </w:pPr>
    </w:p>
    <w:p>
      <w:pPr>
        <w:spacing w:before="92"/>
        <w:ind w:left="1440" w:leftChars="0" w:right="4234" w:firstLine="720" w:firstLineChars="0"/>
        <w:jc w:val="center"/>
        <w:rPr>
          <w:rFonts w:ascii="Arial"/>
        </w:rPr>
      </w:pPr>
      <w:r>
        <w:rPr>
          <w:rFonts w:ascii="Arial"/>
          <w:color w:val="BF5A14"/>
        </w:rPr>
        <w:t>Biography (150 word limit)</w:t>
      </w:r>
    </w:p>
    <w:p>
      <w:pPr>
        <w:shd w:val="clear" w:color="auto" w:fill="FFFFFF"/>
        <w:spacing w:after="0" w:line="240" w:lineRule="auto"/>
        <w:ind w:firstLine="360"/>
        <w:rPr>
          <w:rFonts w:ascii="Times New Roman" w:hAnsi="Times New Roman" w:eastAsia="Times New Roman" w:cs="Times New Roman"/>
          <w:color w:val="222222"/>
          <w:sz w:val="16"/>
          <w:szCs w:val="11"/>
        </w:rPr>
      </w:pPr>
      <w:r>
        <w:rPr>
          <w:rFonts w:ascii="Times New Roman" w:hAnsi="Times New Roman" w:eastAsia="Times New Roman" w:cs="Times New Roman"/>
          <w:color w:val="222222"/>
          <w:sz w:val="16"/>
          <w:szCs w:val="11"/>
        </w:rPr>
        <w:t>John Robert C. Rilveria is a graduate of Bachelor of Arts in Behavioral Sciences</w:t>
      </w:r>
      <w:r>
        <w:rPr>
          <w:rFonts w:ascii="Times New Roman" w:hAnsi="Times New Roman" w:eastAsia="Times New Roman" w:cs="Times New Roman"/>
          <w:color w:val="222222"/>
          <w:sz w:val="16"/>
          <w:szCs w:val="11"/>
          <w:lang w:val="en-US"/>
        </w:rPr>
        <w:t xml:space="preserve"> </w:t>
      </w:r>
      <w:r>
        <w:rPr>
          <w:rFonts w:ascii="Times New Roman" w:hAnsi="Times New Roman" w:eastAsia="Times New Roman" w:cs="Times New Roman"/>
          <w:color w:val="222222"/>
          <w:sz w:val="16"/>
          <w:szCs w:val="11"/>
        </w:rPr>
        <w:t>at the University of the Philippines, Manila. He is a trained behavior therapist for children diagnosed with autism spectrum disorder. His areas of expertise include functional behavioral assessments, behavior management, and behavioral science research. He is working as a Life Skills Teacher for adolescents with neurodevelopmental disorders (autism, ADHD, etc.) He is also currently pursuing a graduate degree in Psychology (Clinical Area) at the University of the Philippines Diliman.</w:t>
      </w:r>
    </w:p>
    <w:p>
      <w:pPr>
        <w:spacing w:before="62"/>
        <w:ind w:left="4217" w:right="4235"/>
        <w:jc w:val="center"/>
        <w:rPr>
          <w:rFonts w:ascii="Arial"/>
          <w:sz w:val="14"/>
        </w:rPr>
      </w:pPr>
      <w:r>
        <w:rPr>
          <w:rFonts w:ascii="Arial"/>
          <w:sz w:val="14"/>
        </w:rPr>
        <w:t xml:space="preserve">Email: </w:t>
      </w:r>
      <w:r>
        <w:rPr>
          <w:sz w:val="20"/>
          <w:szCs w:val="20"/>
          <w:lang w:val="en-US"/>
        </w:rPr>
        <w:t>jcrilveria@up.edu.ph</w:t>
      </w:r>
    </w:p>
    <w:p>
      <w:pPr>
        <w:pStyle w:val="6"/>
        <w:spacing w:before="2"/>
        <w:rPr>
          <w:rFonts w:ascii="Arial"/>
          <w:sz w:val="19"/>
        </w:rPr>
      </w:pPr>
      <w:r>
        <w:rPr>
          <w:lang w:val="en-IN" w:eastAsia="en-IN"/>
        </w:rPr>
        <mc:AlternateContent>
          <mc:Choice Requires="wps">
            <w:drawing>
              <wp:anchor distT="0" distB="0" distL="0" distR="0" simplePos="0" relativeHeight="2048"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ln>
                      </wps:spPr>
                      <wps:bodyPr/>
                    </wps:wsp>
                  </a:graphicData>
                </a:graphic>
              </wp:anchor>
            </w:drawing>
          </mc:Choice>
          <mc:Fallback>
            <w:pict>
              <v:line id="Line 3" o:spid="_x0000_s1026" o:spt="20" style="position:absolute;left:0pt;margin-left:162.1pt;margin-top:13.25pt;height:0pt;width:271.05pt;mso-position-horizontal-relative:page;mso-wrap-distance-bottom:0pt;mso-wrap-distance-top:0pt;z-index:2048;mso-width-relative:page;mso-height-relative:page;" filled="f" stroked="t" coordsize="21600,21600" o:gfxdata="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AAAAAZHJzL1BLAQIUABQAAAAIAIdO4kAOKUBv&#10;1gAAAAkBAAAPAAAAAAAAAAEAIAAAACIAAABkcnMvZG93bnJldi54bWxQSwECFAAUAAAACACHTuJA&#10;mnOm17EBAABSAwAADgAAAAAAAAABACAAAAAlAQAAZHJzL2Uyb0RvYy54bWxQSwUGAAAAAAYABgBZ&#10;AQAASAUAAAAA&#10;">
                <v:fill on="f" focussize="0,0"/>
                <v:stroke weight="0.5pt" color="#004080" joinstyle="round"/>
                <v:imagedata o:title=""/>
                <o:lock v:ext="edit" aspectratio="f"/>
                <w10:wrap type="topAndBottom"/>
              </v:line>
            </w:pict>
          </mc:Fallback>
        </mc:AlternateContent>
      </w:r>
    </w:p>
    <w:p>
      <w:pPr>
        <w:pStyle w:val="6"/>
        <w:rPr>
          <w:rFonts w:ascii="Arial"/>
          <w:sz w:val="20"/>
        </w:rPr>
      </w:pPr>
    </w:p>
    <w:p>
      <w:pPr>
        <w:pStyle w:val="6"/>
        <w:rPr>
          <w:rFonts w:ascii="Arial"/>
          <w:sz w:val="20"/>
        </w:rPr>
      </w:pPr>
    </w:p>
    <w:p>
      <w:pPr>
        <w:pStyle w:val="6"/>
        <w:spacing w:before="7"/>
        <w:rPr>
          <w:rFonts w:ascii="Arial"/>
          <w:sz w:val="29"/>
          <w:lang w:val="en-US"/>
        </w:rPr>
      </w:pPr>
    </w:p>
    <w:p>
      <w:pPr>
        <w:spacing w:before="39"/>
        <w:ind w:left="100"/>
        <w:rPr>
          <w:rFonts w:ascii="Minion Pro"/>
          <w:b/>
          <w:sz w:val="20"/>
        </w:rPr>
      </w:pPr>
      <w:r>
        <w:rPr>
          <w:rFonts w:ascii="Minion Pro"/>
          <w:b/>
          <w:sz w:val="20"/>
        </w:rPr>
        <w:t>Notes/Comments:</w:t>
      </w:r>
    </w:p>
    <w:p>
      <w:pPr>
        <w:rPr>
          <w:rFonts w:ascii="Minion Pro"/>
          <w:sz w:val="24"/>
        </w:rPr>
        <w:sectPr>
          <w:type w:val="continuous"/>
          <w:pgSz w:w="11910" w:h="16840"/>
          <w:pgMar w:top="1740" w:right="600" w:bottom="840" w:left="620" w:header="720" w:footer="720" w:gutter="0"/>
          <w:cols w:space="720" w:num="1"/>
        </w:sectPr>
      </w:pPr>
    </w:p>
    <w:p>
      <w:pPr>
        <w:pStyle w:val="6"/>
        <w:spacing w:before="3"/>
        <w:rPr>
          <w:rFonts w:ascii="Minion Pro"/>
          <w:sz w:val="26"/>
        </w:rPr>
      </w:pPr>
      <w:bookmarkStart w:id="0" w:name="_GoBack"/>
      <w:bookmarkEnd w:id="0"/>
    </w:p>
    <w:sectPr>
      <w:type w:val="continuous"/>
      <w:pgSz w:w="11910" w:h="16840"/>
      <w:pgMar w:top="1740" w:right="580" w:bottom="840" w:left="620" w:header="720" w:footer="720" w:gutter="0"/>
      <w:cols w:equalWidth="0" w:num="2">
        <w:col w:w="5214" w:space="138"/>
        <w:col w:w="5358"/>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EFF" w:usb1="C0007843"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Cambria">
    <w:panose1 w:val="02040503050406030204"/>
    <w:charset w:val="00"/>
    <w:family w:val="roman"/>
    <w:pitch w:val="default"/>
    <w:sig w:usb0="E00002FF" w:usb1="400004FF" w:usb2="00000000" w:usb3="00000000" w:csb0="2000019F" w:csb1="00000000"/>
  </w:font>
  <w:font w:name="Calibri">
    <w:panose1 w:val="020F0502020204030204"/>
    <w:charset w:val="86"/>
    <w:family w:val="swiss"/>
    <w:pitch w:val="default"/>
    <w:sig w:usb0="E0002AFF" w:usb1="C000247B" w:usb2="00000009" w:usb3="00000000" w:csb0="200001FF" w:csb1="00000000"/>
  </w:font>
  <w:font w:name="Tw Cen MT">
    <w:panose1 w:val="020B0602020104020603"/>
    <w:charset w:val="00"/>
    <w:family w:val="swiss"/>
    <w:pitch w:val="default"/>
    <w:sig w:usb0="00000003" w:usb1="00000000" w:usb2="00000000" w:usb3="00000000" w:csb0="20000003" w:csb1="00000000"/>
  </w:font>
  <w:font w:name="Minion Pro">
    <w:altName w:val="Segoe Print"/>
    <w:panose1 w:val="00000000000000000000"/>
    <w:charset w:val="00"/>
    <w:family w:val="roman"/>
    <w:pitch w:val="default"/>
    <w:sig w:usb0="00000000" w:usb1="00000000" w:usb2="00000000" w:usb3="00000000" w:csb0="00000001" w:csb1="00000000"/>
  </w:font>
  <w:font w:name="Tahoma">
    <w:panose1 w:val="020B0604030504040204"/>
    <w:charset w:val="00"/>
    <w:family w:val="swiss"/>
    <w:pitch w:val="default"/>
    <w:sig w:usb0="E1002EFF" w:usb1="C000605B" w:usb2="00000029" w:usb3="00000000" w:csb0="200101FF" w:csb1="20280000"/>
  </w:font>
  <w:font w:name="Myriad Pro">
    <w:altName w:val="Corbel"/>
    <w:panose1 w:val="00000000000000000000"/>
    <w:charset w:val="00"/>
    <w:family w:val="swiss"/>
    <w:pitch w:val="default"/>
    <w:sig w:usb0="00000000" w:usb1="00000000" w:usb2="00000000" w:usb3="00000000" w:csb0="0000019F" w:csb1="00000000"/>
  </w:font>
  <w:font w:name="Impact">
    <w:panose1 w:val="020B0806030902050204"/>
    <w:charset w:val="00"/>
    <w:family w:val="swiss"/>
    <w:pitch w:val="default"/>
    <w:sig w:usb0="00000287" w:usb1="00000000" w:usb2="00000000" w:usb3="00000000" w:csb0="2000009F" w:csb1="DFD70000"/>
  </w:font>
  <w:font w:name="Calibri">
    <w:panose1 w:val="020F0502020204030204"/>
    <w:charset w:val="00"/>
    <w:family w:val="auto"/>
    <w:pitch w:val="default"/>
    <w:sig w:usb0="E0002AFF" w:usb1="C000247B" w:usb2="00000009" w:usb3="00000000" w:csb0="200001FF" w:csb1="00000000"/>
  </w:font>
  <w:font w:name="Segoe Print">
    <w:panose1 w:val="02000600000000000000"/>
    <w:charset w:val="00"/>
    <w:family w:val="auto"/>
    <w:pitch w:val="default"/>
    <w:sig w:usb0="0000028F" w:usb1="00000000" w:usb2="00000000" w:usb3="00000000" w:csb0="2000009F" w:csb1="47010000"/>
  </w:font>
  <w:font w:name="Corbel">
    <w:panose1 w:val="020B0503020204020204"/>
    <w:charset w:val="00"/>
    <w:family w:val="auto"/>
    <w:pitch w:val="default"/>
    <w:sig w:usb0="A00002EF" w:usb1="4000A44B" w:usb2="00000000" w:usb3="00000000" w:csb0="2000019F" w:csb1="00000000"/>
  </w:font>
  <w:font w:name="Agfa Rotis Sans Serif">
    <w:altName w:val="Segoe Print"/>
    <w:panose1 w:val="00000000000000000000"/>
    <w:charset w:val="00"/>
    <w:family w:val="roman"/>
    <w:pitch w:val="default"/>
    <w:sig w:usb0="00000000" w:usb1="00000000" w:usb2="00000000" w:usb3="00000000" w:csb0="00000001" w:csb1="00000000"/>
  </w:font>
  <w:font w:name="Slabo 27px">
    <w:altName w:val="Segoe Print"/>
    <w:panose1 w:val="00000000000000000000"/>
    <w:charset w:val="00"/>
    <w:family w:val="swiss"/>
    <w:pitch w:val="default"/>
    <w:sig w:usb0="00000000" w:usb1="00000000" w:usb2="00000000" w:usb3="00000000" w:csb0="00000001" w:csb1="00000000"/>
  </w:font>
  <w:font w:name="Symbol">
    <w:panose1 w:val="05050102010706020507"/>
    <w:charset w:val="02"/>
    <w:family w:val="roman"/>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spacing w:line="14" w:lineRule="auto"/>
      <w:rPr>
        <w:sz w:val="20"/>
      </w:rPr>
    </w:pPr>
    <w:r>
      <w:rPr>
        <w:lang w:val="en-IN" w:eastAsia="en-IN"/>
      </w:rPr>
      <mc:AlternateContent>
        <mc:Choice Requires="wps">
          <w:drawing>
            <wp:anchor distT="0" distB="0" distL="114300" distR="114300" simplePos="0" relativeHeight="503311360"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wps:spPr>
                    <wps:txbx>
                      <w:txbxContent>
                        <w:p>
                          <w:pPr>
                            <w:spacing w:line="184" w:lineRule="exact"/>
                            <w:ind w:right="18"/>
                            <w:jc w:val="right"/>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Volume 5, Issue 3(Suppl)</w:t>
                          </w:r>
                        </w:p>
                        <w:p>
                          <w:pPr>
                            <w:spacing w:before="116"/>
                            <w:ind w:right="18"/>
                            <w:jc w:val="right"/>
                            <w:rPr>
                              <w:rFonts w:ascii="Minion Pro"/>
                              <w:color w:val="FFFFFF" w:themeColor="background1"/>
                              <w:sz w:val="16"/>
                              <w14:textFill>
                                <w14:solidFill>
                                  <w14:schemeClr w14:val="bg1"/>
                                </w14:solidFill>
                              </w14:textFill>
                            </w:rPr>
                          </w:pPr>
                          <w:r>
                            <w:rPr>
                              <w:rFonts w:ascii="Minion Pro"/>
                              <w:color w:val="FFFFFF" w:themeColor="background1"/>
                              <w:sz w:val="16"/>
                              <w14:textFill>
                                <w14:solidFill>
                                  <w14:schemeClr w14:val="bg1"/>
                                </w14:solidFill>
                              </w14:textFill>
                            </w:rPr>
                            <w:t>Page 40</w:t>
                          </w:r>
                        </w:p>
                      </w:txbxContent>
                    </wps:txbx>
                    <wps:bodyPr rot="0" vert="horz" wrap="square" lIns="0" tIns="0" rIns="0" bIns="0" anchor="t" anchorCtr="0" upright="1">
                      <a:noAutofit/>
                    </wps:bodyPr>
                  </wps:wsp>
                </a:graphicData>
              </a:graphic>
            </wp:anchor>
          </w:drawing>
        </mc:Choice>
        <mc:Fallback>
          <w:pict>
            <v:shape id="Text Box 1" o:spid="_x0000_s1026" o:spt="202" type="#_x0000_t202" style="position:absolute;left:0pt;margin-left:468.9pt;margin-top:798.8pt;height:26.05pt;width:91.4pt;mso-position-horizontal-relative:page;mso-position-vertical-relative:page;z-index:-5120;mso-width-relative:page;mso-height-relative:page;" filled="f" stroked="f" coordsize="21600,21600" o:gfxdata="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wbMZ2dsAAAAO&#10;AQAADwAAAAAAAAABACAAAAAiAAAAZHJzL2Rvd25yZXYueG1sUEsBAhQAFAAAAAgAh07iQAokTj3g&#10;AQAAtgMAAA4AAAAAAAAAAQAgAAAAKgEAAGRycy9lMm9Eb2MueG1sUEsFBgAAAAAGAAYAWQEAAHwF&#10;AAAAAA==&#10;">
              <v:fill on="f" focussize="0,0"/>
              <v:stroke on="f"/>
              <v:imagedata o:title=""/>
              <o:lock v:ext="edit" aspectratio="f"/>
              <v:textbox inset="0mm,0mm,0mm,0mm">
                <w:txbxContent>
                  <w:p>
                    <w:pPr>
                      <w:spacing w:line="184" w:lineRule="exact"/>
                      <w:ind w:right="18"/>
                      <w:jc w:val="right"/>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Volume 5, Issue 3(Suppl)</w:t>
                    </w:r>
                  </w:p>
                  <w:p>
                    <w:pPr>
                      <w:spacing w:before="116"/>
                      <w:ind w:right="18"/>
                      <w:jc w:val="right"/>
                      <w:rPr>
                        <w:rFonts w:ascii="Minion Pro"/>
                        <w:color w:val="FFFFFF" w:themeColor="background1"/>
                        <w:sz w:val="16"/>
                        <w14:textFill>
                          <w14:solidFill>
                            <w14:schemeClr w14:val="bg1"/>
                          </w14:solidFill>
                        </w14:textFill>
                      </w:rPr>
                    </w:pPr>
                    <w:r>
                      <w:rPr>
                        <w:rFonts w:ascii="Minion Pro"/>
                        <w:color w:val="FFFFFF" w:themeColor="background1"/>
                        <w:sz w:val="16"/>
                        <w14:textFill>
                          <w14:solidFill>
                            <w14:schemeClr w14:val="bg1"/>
                          </w14:solidFill>
                        </w14:textFill>
                      </w:rPr>
                      <w:t>Page 40</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spacing w:line="14" w:lineRule="auto"/>
      <w:rPr>
        <w:sz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ocumentProtection w:enforcement="0"/>
  <w:defaultTabStop w:val="720"/>
  <w:drawingGridHorizontalSpacing w:val="110"/>
  <w:displayHorizontalDrawingGridEvery w:val="2"/>
  <w:characterSpacingControl w:val="doNotCompress"/>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E2911"/>
    <w:rsid w:val="000E6F2C"/>
    <w:rsid w:val="001263DF"/>
    <w:rsid w:val="00292ED9"/>
    <w:rsid w:val="00404E5B"/>
    <w:rsid w:val="00414F7B"/>
    <w:rsid w:val="004355DC"/>
    <w:rsid w:val="004749B4"/>
    <w:rsid w:val="00494130"/>
    <w:rsid w:val="004F3523"/>
    <w:rsid w:val="005973B9"/>
    <w:rsid w:val="005B3A56"/>
    <w:rsid w:val="005D3BC5"/>
    <w:rsid w:val="006060CE"/>
    <w:rsid w:val="0063497F"/>
    <w:rsid w:val="00873DF0"/>
    <w:rsid w:val="008756E6"/>
    <w:rsid w:val="009B2D44"/>
    <w:rsid w:val="00A07E82"/>
    <w:rsid w:val="00A9710C"/>
    <w:rsid w:val="00AE3E37"/>
    <w:rsid w:val="00B21A57"/>
    <w:rsid w:val="00C33602"/>
    <w:rsid w:val="00CD6F55"/>
    <w:rsid w:val="00DE3104"/>
    <w:rsid w:val="00F72EEA"/>
    <w:rsid w:val="00F84CAE"/>
    <w:rsid w:val="06396AA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HAnsi" w:cstheme="minorBidi"/>
      </w:rPr>
    </w:r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pPr>
    <w:rPr>
      <w:rFonts w:ascii="Tw Cen MT" w:hAnsi="Tw Cen MT" w:eastAsia="Tw Cen MT" w:cs="Tw Cen MT"/>
      <w:sz w:val="22"/>
      <w:szCs w:val="22"/>
      <w:lang w:val="en-US" w:eastAsia="en-US" w:bidi="ar-SA"/>
    </w:rPr>
  </w:style>
  <w:style w:type="paragraph" w:styleId="2">
    <w:name w:val="heading 1"/>
    <w:basedOn w:val="1"/>
    <w:next w:val="1"/>
    <w:qFormat/>
    <w:uiPriority w:val="1"/>
    <w:pPr>
      <w:spacing w:before="47" w:line="400" w:lineRule="exact"/>
      <w:ind w:left="100"/>
      <w:outlineLvl w:val="0"/>
    </w:pPr>
    <w:rPr>
      <w:rFonts w:ascii="Minion Pro" w:hAnsi="Minion Pro" w:eastAsia="Minion Pro" w:cs="Minion Pro"/>
      <w:b/>
      <w:bCs/>
      <w:sz w:val="36"/>
      <w:szCs w:val="36"/>
    </w:rPr>
  </w:style>
  <w:style w:type="paragraph" w:styleId="3">
    <w:name w:val="heading 2"/>
    <w:basedOn w:val="1"/>
    <w:next w:val="1"/>
    <w:qFormat/>
    <w:uiPriority w:val="1"/>
    <w:pPr>
      <w:ind w:left="100"/>
      <w:outlineLvl w:val="1"/>
    </w:pPr>
    <w:rPr>
      <w:rFonts w:ascii="Minion Pro" w:hAnsi="Minion Pro" w:eastAsia="Minion Pro" w:cs="Minion Pro"/>
      <w:sz w:val="24"/>
      <w:szCs w:val="24"/>
    </w:rPr>
  </w:style>
  <w:style w:type="paragraph" w:styleId="4">
    <w:name w:val="heading 3"/>
    <w:basedOn w:val="1"/>
    <w:next w:val="1"/>
    <w:qFormat/>
    <w:uiPriority w:val="1"/>
    <w:pPr>
      <w:ind w:left="100"/>
      <w:outlineLvl w:val="2"/>
    </w:pPr>
    <w:rPr>
      <w:rFonts w:ascii="Arial" w:hAnsi="Arial" w:eastAsia="Arial" w:cs="Arial"/>
      <w:b/>
      <w:bCs/>
      <w:sz w:val="20"/>
      <w:szCs w:val="20"/>
    </w:rPr>
  </w:style>
  <w:style w:type="character" w:default="1" w:styleId="9">
    <w:name w:val="Default Paragraph Font"/>
    <w:unhideWhenUsed/>
    <w:uiPriority w:val="1"/>
  </w:style>
  <w:style w:type="table" w:default="1" w:styleId="11">
    <w:name w:val="Normal Table"/>
    <w:unhideWhenUsed/>
    <w:uiPriority w:val="99"/>
    <w:tblPr>
      <w:tblLayout w:type="fixed"/>
      <w:tblCellMar>
        <w:top w:w="0" w:type="dxa"/>
        <w:left w:w="108" w:type="dxa"/>
        <w:bottom w:w="0" w:type="dxa"/>
        <w:right w:w="108" w:type="dxa"/>
      </w:tblCellMar>
    </w:tblPr>
  </w:style>
  <w:style w:type="paragraph" w:styleId="5">
    <w:name w:val="Balloon Text"/>
    <w:basedOn w:val="1"/>
    <w:link w:val="16"/>
    <w:unhideWhenUsed/>
    <w:uiPriority w:val="99"/>
    <w:rPr>
      <w:rFonts w:ascii="Tahoma" w:hAnsi="Tahoma" w:cs="Tahoma"/>
      <w:sz w:val="16"/>
      <w:szCs w:val="16"/>
    </w:rPr>
  </w:style>
  <w:style w:type="paragraph" w:styleId="6">
    <w:name w:val="Body Text"/>
    <w:basedOn w:val="1"/>
    <w:link w:val="17"/>
    <w:qFormat/>
    <w:uiPriority w:val="1"/>
    <w:rPr>
      <w:sz w:val="18"/>
      <w:szCs w:val="18"/>
    </w:rPr>
  </w:style>
  <w:style w:type="paragraph" w:styleId="7">
    <w:name w:val="footer"/>
    <w:basedOn w:val="1"/>
    <w:link w:val="15"/>
    <w:unhideWhenUsed/>
    <w:uiPriority w:val="99"/>
    <w:pPr>
      <w:tabs>
        <w:tab w:val="center" w:pos="4513"/>
        <w:tab w:val="right" w:pos="9026"/>
      </w:tabs>
    </w:pPr>
  </w:style>
  <w:style w:type="paragraph" w:styleId="8">
    <w:name w:val="header"/>
    <w:basedOn w:val="1"/>
    <w:link w:val="14"/>
    <w:unhideWhenUsed/>
    <w:uiPriority w:val="99"/>
    <w:pPr>
      <w:tabs>
        <w:tab w:val="center" w:pos="4513"/>
        <w:tab w:val="right" w:pos="9026"/>
      </w:tabs>
    </w:pPr>
  </w:style>
  <w:style w:type="character" w:styleId="10">
    <w:name w:val="Hyperlink"/>
    <w:basedOn w:val="9"/>
    <w:unhideWhenUsed/>
    <w:uiPriority w:val="99"/>
    <w:rPr>
      <w:color w:val="0000FF" w:themeColor="hyperlink"/>
      <w:u w:val="single"/>
      <w14:textFill>
        <w14:solidFill>
          <w14:schemeClr w14:val="hlink"/>
        </w14:solidFill>
      </w14:textFill>
    </w:rPr>
  </w:style>
  <w:style w:type="paragraph" w:customStyle="1" w:styleId="12">
    <w:name w:val="List Paragraph"/>
    <w:basedOn w:val="1"/>
    <w:qFormat/>
    <w:uiPriority w:val="1"/>
    <w:pPr>
      <w:spacing w:before="90" w:line="200" w:lineRule="exact"/>
      <w:ind w:left="383" w:hanging="283"/>
      <w:jc w:val="both"/>
    </w:pPr>
    <w:rPr>
      <w:rFonts w:ascii="Calibri" w:hAnsi="Calibri" w:eastAsia="Calibri" w:cs="Calibri"/>
    </w:rPr>
  </w:style>
  <w:style w:type="paragraph" w:customStyle="1" w:styleId="13">
    <w:name w:val="Table Paragraph"/>
    <w:basedOn w:val="1"/>
    <w:qFormat/>
    <w:uiPriority w:val="1"/>
  </w:style>
  <w:style w:type="character" w:customStyle="1" w:styleId="14">
    <w:name w:val="Header Char"/>
    <w:basedOn w:val="9"/>
    <w:link w:val="8"/>
    <w:uiPriority w:val="99"/>
    <w:rPr>
      <w:rFonts w:ascii="Tw Cen MT" w:hAnsi="Tw Cen MT" w:eastAsia="Tw Cen MT" w:cs="Tw Cen MT"/>
    </w:rPr>
  </w:style>
  <w:style w:type="character" w:customStyle="1" w:styleId="15">
    <w:name w:val="Footer Char"/>
    <w:basedOn w:val="9"/>
    <w:link w:val="7"/>
    <w:uiPriority w:val="99"/>
    <w:rPr>
      <w:rFonts w:ascii="Tw Cen MT" w:hAnsi="Tw Cen MT" w:eastAsia="Tw Cen MT" w:cs="Tw Cen MT"/>
    </w:rPr>
  </w:style>
  <w:style w:type="character" w:customStyle="1" w:styleId="16">
    <w:name w:val="Balloon Text Char"/>
    <w:basedOn w:val="9"/>
    <w:link w:val="5"/>
    <w:semiHidden/>
    <w:uiPriority w:val="99"/>
    <w:rPr>
      <w:rFonts w:ascii="Tahoma" w:hAnsi="Tahoma" w:eastAsia="Tw Cen MT" w:cs="Tahoma"/>
      <w:sz w:val="16"/>
      <w:szCs w:val="16"/>
    </w:rPr>
  </w:style>
  <w:style w:type="character" w:customStyle="1" w:styleId="17">
    <w:name w:val="Body Text Char"/>
    <w:basedOn w:val="9"/>
    <w:link w:val="6"/>
    <w:uiPriority w:val="1"/>
    <w:rPr>
      <w:rFonts w:ascii="Tw Cen MT" w:hAnsi="Tw Cen MT" w:eastAsia="Tw Cen MT" w:cs="Tw Cen MT"/>
      <w:sz w:val="18"/>
      <w:szCs w:val="18"/>
    </w:rPr>
  </w:style>
  <w:style w:type="paragraph" w:customStyle="1" w:styleId="18">
    <w:name w:val="Default"/>
    <w:unhideWhenUsed/>
    <w:uiPriority w:val="99"/>
    <w:pPr>
      <w:widowControl w:val="0"/>
      <w:autoSpaceDE w:val="0"/>
      <w:autoSpaceDN w:val="0"/>
      <w:adjustRightInd w:val="0"/>
      <w:spacing w:beforeLines="0" w:afterLines="0"/>
    </w:pPr>
    <w:rPr>
      <w:rFonts w:hint="default" w:ascii="Agfa Rotis Sans Serif" w:hAnsi="Agfa Rotis Sans Serif" w:eastAsia="Agfa Rotis Sans Serif"/>
      <w:color w:val="000000"/>
      <w:sz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Pages>
  <Words>549</Words>
  <Characters>3132</Characters>
  <Lines>26</Lines>
  <Paragraphs>7</Paragraphs>
  <TotalTime>0</TotalTime>
  <ScaleCrop>false</ScaleCrop>
  <LinksUpToDate>false</LinksUpToDate>
  <CharactersWithSpaces>3674</CharactersWithSpaces>
  <Application>WPS Office_10.2.0.5934_F1E327BC-269C-435d-A152-05C5408002CA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2016-12-01T09:00:00Z</dcterms:created>
  <dc:creator>mehaboobi shaik</dc:creator>
  <cp:lastModifiedBy>John Robert</cp:lastModifiedBy>
  <dcterms:modified xsi:type="dcterms:W3CDTF">2017-09-01T12:25:22Z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y fmtid="{D5CDD505-2E9C-101B-9397-08002B2CF9AE}" pid="5" name="KSOProductBuildVer">
    <vt:lpwstr>1033-10.2.0.5934</vt:lpwstr>
  </property>
</Properties>
</file>