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37C6" w:rsidRDefault="00E337C6" w:rsidP="00E337C6">
      <w:pPr>
        <w:jc w:val="center"/>
      </w:pPr>
    </w:p>
    <w:p w:rsidR="00E337C6" w:rsidRDefault="00E337C6" w:rsidP="00E337C6">
      <w:pPr>
        <w:jc w:val="center"/>
      </w:pPr>
    </w:p>
    <w:p w:rsidR="00E337C6" w:rsidRDefault="00E337C6" w:rsidP="00E337C6">
      <w:pPr>
        <w:jc w:val="center"/>
      </w:pPr>
      <w:r>
        <w:t xml:space="preserve">PHARMACEUTICAL CARE ISSUES IN PATIENTS WITH RENAL IMPAIRMENT AT THE NEPHROLOGY DEPARTMENT OF THE KORLE-BU TEACHING HOSPITAL (KBTH) </w:t>
      </w:r>
    </w:p>
    <w:p w:rsidR="00E337C6" w:rsidRDefault="00E337C6" w:rsidP="00F623CE"/>
    <w:p w:rsidR="00E337C6" w:rsidRDefault="00F623CE" w:rsidP="00F623CE">
      <w:r>
        <w:t xml:space="preserve">Augustine Annan </w:t>
      </w:r>
    </w:p>
    <w:p w:rsidR="00E337C6" w:rsidRDefault="00F623CE" w:rsidP="00F623CE">
      <w:r>
        <w:t>Pharmacy Department, Korle Bu Teaching Hospital, Nephrology unit, Medical Department, Accra, Ghana</w:t>
      </w:r>
    </w:p>
    <w:p w:rsidR="009F7318" w:rsidRDefault="009F7318" w:rsidP="00E337C6">
      <w:pPr>
        <w:jc w:val="center"/>
      </w:pPr>
    </w:p>
    <w:p w:rsidR="00B20E22" w:rsidRPr="00F623CE" w:rsidRDefault="009F7318" w:rsidP="00F623CE">
      <w:pPr>
        <w:rPr>
          <w:b/>
          <w:sz w:val="22"/>
          <w:szCs w:val="22"/>
        </w:rPr>
      </w:pPr>
      <w:r>
        <w:rPr>
          <w:b/>
          <w:sz w:val="22"/>
          <w:szCs w:val="22"/>
        </w:rPr>
        <w:t xml:space="preserve">Abstract </w:t>
      </w:r>
      <w:r w:rsidRPr="00B20E22">
        <w:rPr>
          <w:b/>
          <w:sz w:val="22"/>
          <w:szCs w:val="22"/>
        </w:rPr>
        <w:t>A</w:t>
      </w:r>
      <w:r w:rsidRPr="00B20E22">
        <w:rPr>
          <w:b/>
        </w:rPr>
        <w:t>im</w:t>
      </w:r>
    </w:p>
    <w:p w:rsidR="009F7318" w:rsidRPr="00B20E22" w:rsidRDefault="009F7318" w:rsidP="00B20E22">
      <w:pPr>
        <w:pStyle w:val="Body"/>
        <w:spacing w:line="360" w:lineRule="auto"/>
        <w:rPr>
          <w:rFonts w:ascii="Times New Roman" w:hAnsi="Times New Roman" w:cs="Times New Roman"/>
        </w:rPr>
      </w:pPr>
      <w:r w:rsidRPr="00B20E22">
        <w:rPr>
          <w:rFonts w:ascii="Times New Roman" w:hAnsi="Times New Roman" w:cs="Times New Roman"/>
        </w:rPr>
        <w:t>To identify and characterise pharmaceutical care issues in patient with renal impairment at the nephrology department of korle-Bu Teaching Hospital.</w:t>
      </w:r>
    </w:p>
    <w:p w:rsidR="009F7318" w:rsidRPr="00B20E22" w:rsidRDefault="009F7318" w:rsidP="009F7318">
      <w:pPr>
        <w:rPr>
          <w:b/>
          <w:sz w:val="22"/>
          <w:szCs w:val="22"/>
        </w:rPr>
      </w:pPr>
    </w:p>
    <w:p w:rsidR="009F7318" w:rsidRPr="00B20E22" w:rsidRDefault="009F7318" w:rsidP="00B20E22">
      <w:pPr>
        <w:spacing w:line="360" w:lineRule="auto"/>
        <w:rPr>
          <w:b/>
          <w:sz w:val="22"/>
          <w:szCs w:val="22"/>
        </w:rPr>
      </w:pPr>
      <w:r w:rsidRPr="00B20E22">
        <w:rPr>
          <w:b/>
          <w:sz w:val="22"/>
          <w:szCs w:val="22"/>
        </w:rPr>
        <w:t xml:space="preserve">Method </w:t>
      </w:r>
    </w:p>
    <w:p w:rsidR="009F7318" w:rsidRPr="00F623CE" w:rsidRDefault="009F7318" w:rsidP="00F623CE">
      <w:pPr>
        <w:pStyle w:val="NoSpacing"/>
        <w:spacing w:line="360" w:lineRule="auto"/>
        <w:rPr>
          <w:sz w:val="22"/>
          <w:szCs w:val="22"/>
        </w:rPr>
      </w:pPr>
      <w:r w:rsidRPr="00B20E22">
        <w:rPr>
          <w:b/>
          <w:sz w:val="22"/>
          <w:szCs w:val="22"/>
        </w:rPr>
        <w:t xml:space="preserve"> </w:t>
      </w:r>
      <w:r w:rsidRPr="00B20E22">
        <w:rPr>
          <w:sz w:val="22"/>
          <w:szCs w:val="22"/>
        </w:rPr>
        <w:t>The study was a cross-sectional one conducted over a 3 month period at the medical department of the</w:t>
      </w:r>
      <w:r w:rsidRPr="00B20E22">
        <w:rPr>
          <w:b/>
          <w:sz w:val="22"/>
          <w:szCs w:val="22"/>
        </w:rPr>
        <w:t xml:space="preserve"> </w:t>
      </w:r>
      <w:r w:rsidRPr="00B20E22">
        <w:rPr>
          <w:sz w:val="22"/>
          <w:szCs w:val="22"/>
        </w:rPr>
        <w:t>Korle-Bu Teaching Hospital.  All adult patients (18years and above) diagnosed with renal impairment and admitted to the ward during the study period were recruited for the study after consent sought.</w:t>
      </w:r>
      <w:r w:rsidRPr="00B20E22">
        <w:rPr>
          <w:rFonts w:eastAsia="Verdana"/>
          <w:sz w:val="22"/>
          <w:szCs w:val="22"/>
          <w:u w:color="000000"/>
        </w:rPr>
        <w:t xml:space="preserve"> A Well-structured data collection tool was used to gather data from available patient medical records from time of admission to time of discharge during the study period, the data collected include, socio-demographic characteristics, clinical characteristics and laboratory outcomes and medications. Patient’s medical charts were also extensively reviewed and findings documented.</w:t>
      </w:r>
    </w:p>
    <w:p w:rsidR="00B20E22" w:rsidRPr="00B20E22" w:rsidRDefault="00B20E22" w:rsidP="00B20E22">
      <w:pPr>
        <w:spacing w:line="360" w:lineRule="auto"/>
        <w:rPr>
          <w:b/>
          <w:sz w:val="22"/>
          <w:szCs w:val="22"/>
        </w:rPr>
      </w:pPr>
      <w:r w:rsidRPr="00B20E22">
        <w:rPr>
          <w:b/>
          <w:sz w:val="22"/>
          <w:szCs w:val="22"/>
        </w:rPr>
        <w:t>Results</w:t>
      </w:r>
    </w:p>
    <w:p w:rsidR="00B20E22" w:rsidRPr="00F623CE" w:rsidRDefault="00B20E22" w:rsidP="00F623CE">
      <w:pPr>
        <w:pStyle w:val="NoSpacing"/>
        <w:spacing w:line="360" w:lineRule="auto"/>
        <w:rPr>
          <w:color w:val="000000"/>
          <w:sz w:val="22"/>
          <w:szCs w:val="22"/>
          <w:lang w:val="en-GB"/>
        </w:rPr>
      </w:pPr>
      <w:r w:rsidRPr="00B20E22">
        <w:rPr>
          <w:sz w:val="22"/>
          <w:szCs w:val="22"/>
        </w:rPr>
        <w:t>A total of 19 patients (majority 52.6% male) with renal impairment were</w:t>
      </w:r>
      <w:r w:rsidRPr="00B20E22">
        <w:rPr>
          <w:color w:val="000000"/>
          <w:sz w:val="22"/>
          <w:szCs w:val="22"/>
          <w:lang w:val="en-GB"/>
        </w:rPr>
        <w:t xml:space="preserve"> enrolled into the study.  The mean age was 40.68 years </w:t>
      </w:r>
      <w:r w:rsidRPr="00B20E22">
        <w:rPr>
          <w:sz w:val="22"/>
          <w:szCs w:val="22"/>
          <w:lang w:val="en-GB"/>
        </w:rPr>
        <w:t xml:space="preserve">(SD 13.68) </w:t>
      </w:r>
      <w:r w:rsidRPr="00B20E22">
        <w:rPr>
          <w:color w:val="000000"/>
          <w:sz w:val="22"/>
          <w:szCs w:val="22"/>
          <w:lang w:val="en-GB"/>
        </w:rPr>
        <w:t xml:space="preserve">  with a mean number of 4.95 of co-morbid diseases per patient </w:t>
      </w:r>
      <w:r w:rsidRPr="00B20E22">
        <w:rPr>
          <w:sz w:val="22"/>
          <w:szCs w:val="22"/>
          <w:lang w:val="en-GB"/>
        </w:rPr>
        <w:t>(SD 1.615)</w:t>
      </w:r>
      <w:r w:rsidRPr="00B20E22">
        <w:rPr>
          <w:rStyle w:val="CommentReference"/>
        </w:rPr>
        <w:t xml:space="preserve">. </w:t>
      </w:r>
      <w:r w:rsidRPr="00B20E22">
        <w:rPr>
          <w:color w:val="000000"/>
          <w:sz w:val="22"/>
          <w:szCs w:val="22"/>
          <w:lang w:val="en-GB"/>
        </w:rPr>
        <w:t xml:space="preserve">The mean pill burden per patient was 13.05 </w:t>
      </w:r>
      <w:r w:rsidRPr="00B20E22">
        <w:rPr>
          <w:sz w:val="22"/>
          <w:szCs w:val="22"/>
          <w:lang w:val="en-GB"/>
        </w:rPr>
        <w:t>(SD 4.97).</w:t>
      </w:r>
      <w:r w:rsidRPr="00B20E22">
        <w:rPr>
          <w:color w:val="000000"/>
          <w:sz w:val="22"/>
          <w:szCs w:val="22"/>
          <w:lang w:val="en-GB"/>
        </w:rPr>
        <w:t xml:space="preserve"> </w:t>
      </w:r>
      <w:r w:rsidRPr="00B20E22">
        <w:rPr>
          <w:sz w:val="22"/>
          <w:szCs w:val="22"/>
        </w:rPr>
        <w:t xml:space="preserve">The mean number of PCIs per drug exposure was 2.04. </w:t>
      </w:r>
      <w:r w:rsidRPr="00B20E22">
        <w:rPr>
          <w:color w:val="000000"/>
          <w:sz w:val="22"/>
          <w:szCs w:val="22"/>
          <w:lang w:val="en-GB"/>
        </w:rPr>
        <w:t xml:space="preserve">The commonest pharmaceutical care issue types identified were </w:t>
      </w:r>
      <w:r w:rsidRPr="00B20E22">
        <w:rPr>
          <w:sz w:val="22"/>
          <w:szCs w:val="22"/>
          <w:lang w:val="en-GB"/>
        </w:rPr>
        <w:t xml:space="preserve">under dosing (27.9%), monitoring need (19.92%), drug Interaction (16.53%) and adverse drug reaction (13.94%). The drug classes with the highest number of pharmaceutical care issues were antibiotics 25% (n=125), Diuretics 13.8% (n=69). There was a significant association between the number of PCIs identified and the number of drugs administered during admission with a p-value 0.000 and r-value 0.822. </w:t>
      </w:r>
    </w:p>
    <w:p w:rsidR="00B20E22" w:rsidRDefault="00B20E22" w:rsidP="00B20E22">
      <w:pPr>
        <w:spacing w:line="360" w:lineRule="auto"/>
        <w:rPr>
          <w:b/>
          <w:sz w:val="22"/>
          <w:szCs w:val="22"/>
        </w:rPr>
      </w:pPr>
      <w:r>
        <w:rPr>
          <w:b/>
          <w:sz w:val="22"/>
          <w:szCs w:val="22"/>
        </w:rPr>
        <w:t xml:space="preserve">Conclusions </w:t>
      </w:r>
    </w:p>
    <w:p w:rsidR="00B20E22" w:rsidRPr="00B20E22" w:rsidRDefault="00B20E22" w:rsidP="00B20E22">
      <w:pPr>
        <w:spacing w:line="360" w:lineRule="auto"/>
        <w:rPr>
          <w:rFonts w:eastAsia="Times New Roman"/>
          <w:color w:val="000000"/>
        </w:rPr>
      </w:pPr>
      <w:r w:rsidRPr="00B20E22">
        <w:rPr>
          <w:rFonts w:eastAsia="Verdana"/>
          <w:sz w:val="22"/>
          <w:szCs w:val="22"/>
          <w:u w:color="000000"/>
        </w:rPr>
        <w:t xml:space="preserve">The number of PCIs identified in this study was high among our study participants. </w:t>
      </w:r>
      <w:r w:rsidRPr="00B20E22">
        <w:rPr>
          <w:sz w:val="22"/>
          <w:szCs w:val="22"/>
          <w:lang w:val="en-GB"/>
        </w:rPr>
        <w:t xml:space="preserve"> Possible factors attributed to this high occurrence of </w:t>
      </w:r>
      <w:bookmarkStart w:id="0" w:name="_GoBack"/>
      <w:r w:rsidRPr="00B20E22">
        <w:rPr>
          <w:sz w:val="22"/>
          <w:szCs w:val="22"/>
          <w:lang w:val="en-GB"/>
        </w:rPr>
        <w:t xml:space="preserve">pharmaceutical </w:t>
      </w:r>
      <w:bookmarkEnd w:id="0"/>
      <w:r w:rsidRPr="00B20E22">
        <w:rPr>
          <w:sz w:val="22"/>
          <w:szCs w:val="22"/>
          <w:lang w:val="en-GB"/>
        </w:rPr>
        <w:t xml:space="preserve">care issues were an </w:t>
      </w:r>
      <w:r w:rsidRPr="00B20E22">
        <w:rPr>
          <w:sz w:val="22"/>
          <w:szCs w:val="22"/>
        </w:rPr>
        <w:t>underestimation of the potential adverse consequences of PCIs in this patient population by prescribers, lack of specialized training for health care staff, financi</w:t>
      </w:r>
      <w:r w:rsidRPr="00B20E22">
        <w:rPr>
          <w:sz w:val="22"/>
          <w:szCs w:val="22"/>
        </w:rPr>
        <w:t>al constraints of patients and</w:t>
      </w:r>
      <w:r w:rsidRPr="00B20E22">
        <w:rPr>
          <w:sz w:val="22"/>
          <w:szCs w:val="22"/>
        </w:rPr>
        <w:t xml:space="preserve"> inadequate medication review by pharmacist.</w:t>
      </w:r>
      <w:r w:rsidRPr="00B20E22">
        <w:rPr>
          <w:rFonts w:eastAsia="Times New Roman"/>
          <w:color w:val="000000"/>
        </w:rPr>
        <w:t xml:space="preserve"> </w:t>
      </w:r>
    </w:p>
    <w:p w:rsidR="00B20E22" w:rsidRPr="00B20E22" w:rsidRDefault="00B20E22" w:rsidP="00B20E22">
      <w:pPr>
        <w:spacing w:line="360" w:lineRule="auto"/>
        <w:rPr>
          <w:sz w:val="22"/>
          <w:szCs w:val="22"/>
        </w:rPr>
      </w:pPr>
    </w:p>
    <w:p w:rsidR="009F7318" w:rsidRPr="00B20E22" w:rsidRDefault="009F7318" w:rsidP="00E337C6">
      <w:pPr>
        <w:jc w:val="center"/>
      </w:pPr>
    </w:p>
    <w:p w:rsidR="009F7318" w:rsidRDefault="009F7318" w:rsidP="00E337C6">
      <w:pPr>
        <w:jc w:val="center"/>
      </w:pPr>
    </w:p>
    <w:sectPr w:rsidR="009F73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7C6"/>
    <w:rsid w:val="002005B3"/>
    <w:rsid w:val="009F7318"/>
    <w:rsid w:val="00B20E22"/>
    <w:rsid w:val="00C76FDB"/>
    <w:rsid w:val="00E337C6"/>
    <w:rsid w:val="00F62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E4179C-EE11-46BF-BBC2-DB50DEC3E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337C6"/>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9F7318"/>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n-GB"/>
    </w:rPr>
  </w:style>
  <w:style w:type="paragraph" w:styleId="NoSpacing">
    <w:name w:val="No Spacing"/>
    <w:uiPriority w:val="1"/>
    <w:qFormat/>
    <w:rsid w:val="009F7318"/>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styleId="CommentReference">
    <w:name w:val="annotation reference"/>
    <w:basedOn w:val="DefaultParagraphFont"/>
    <w:uiPriority w:val="99"/>
    <w:semiHidden/>
    <w:unhideWhenUsed/>
    <w:rsid w:val="009F7318"/>
    <w:rPr>
      <w:sz w:val="16"/>
      <w:szCs w:val="16"/>
    </w:rPr>
  </w:style>
  <w:style w:type="paragraph" w:styleId="CommentText">
    <w:name w:val="annotation text"/>
    <w:basedOn w:val="Normal"/>
    <w:link w:val="CommentTextChar"/>
    <w:uiPriority w:val="99"/>
    <w:semiHidden/>
    <w:unhideWhenUsed/>
    <w:rsid w:val="009F7318"/>
    <w:rPr>
      <w:sz w:val="20"/>
      <w:szCs w:val="20"/>
    </w:rPr>
  </w:style>
  <w:style w:type="character" w:customStyle="1" w:styleId="CommentTextChar">
    <w:name w:val="Comment Text Char"/>
    <w:basedOn w:val="DefaultParagraphFont"/>
    <w:link w:val="CommentText"/>
    <w:uiPriority w:val="99"/>
    <w:semiHidden/>
    <w:rsid w:val="009F7318"/>
    <w:rPr>
      <w:rFonts w:ascii="Times New Roman" w:eastAsia="Arial Unicode MS" w:hAnsi="Times New Roman" w:cs="Times New Roman"/>
      <w:sz w:val="20"/>
      <w:szCs w:val="20"/>
      <w:bdr w:val="nil"/>
    </w:rPr>
  </w:style>
  <w:style w:type="paragraph" w:styleId="BalloonText">
    <w:name w:val="Balloon Text"/>
    <w:basedOn w:val="Normal"/>
    <w:link w:val="BalloonTextChar"/>
    <w:uiPriority w:val="99"/>
    <w:semiHidden/>
    <w:unhideWhenUsed/>
    <w:rsid w:val="009F73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7318"/>
    <w:rPr>
      <w:rFonts w:ascii="Segoe UI" w:eastAsia="Arial Unicode MS" w:hAnsi="Segoe UI" w:cs="Segoe UI"/>
      <w:sz w:val="18"/>
      <w:szCs w:val="18"/>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340</Words>
  <Characters>1989</Characters>
  <Application>Microsoft Office Word</Application>
  <DocSecurity>0</DocSecurity>
  <Lines>36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2019-11-24T00:19:00Z</dcterms:created>
  <dcterms:modified xsi:type="dcterms:W3CDTF">2019-11-24T01:43:00Z</dcterms:modified>
</cp:coreProperties>
</file>