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D95BD" w14:textId="0AB7762F" w:rsidR="00BB5390" w:rsidRDefault="0024638B" w:rsidP="00BB5390">
      <w:pPr>
        <w:rPr>
          <w:rFonts w:ascii="Minion Pro" w:eastAsia="Minion Pro" w:hAnsi="Minion Pro" w:cs="Minion Pro"/>
          <w:b/>
          <w:bCs/>
          <w:color w:val="337AB7"/>
          <w:sz w:val="36"/>
          <w:szCs w:val="36"/>
        </w:rPr>
      </w:pPr>
      <w:r w:rsidRPr="0024638B">
        <w:rPr>
          <w:rFonts w:ascii="Minion Pro" w:eastAsia="Minion Pro" w:hAnsi="Minion Pro" w:cs="Minion Pro"/>
          <w:b/>
          <w:bCs/>
          <w:color w:val="337AB7"/>
          <w:sz w:val="36"/>
          <w:szCs w:val="36"/>
        </w:rPr>
        <w:t xml:space="preserve">Serum Concentration and Dietary Zinc Intake </w:t>
      </w:r>
      <w:r>
        <w:rPr>
          <w:rFonts w:ascii="Minion Pro" w:eastAsia="Minion Pro" w:hAnsi="Minion Pro" w:cs="Minion Pro"/>
          <w:b/>
          <w:bCs/>
          <w:color w:val="337AB7"/>
          <w:sz w:val="36"/>
          <w:szCs w:val="36"/>
        </w:rPr>
        <w:t>i</w:t>
      </w:r>
      <w:r w:rsidRPr="0024638B">
        <w:rPr>
          <w:rFonts w:ascii="Minion Pro" w:eastAsia="Minion Pro" w:hAnsi="Minion Pro" w:cs="Minion Pro"/>
          <w:b/>
          <w:bCs/>
          <w:color w:val="337AB7"/>
          <w:sz w:val="36"/>
          <w:szCs w:val="36"/>
        </w:rPr>
        <w:t xml:space="preserve">n Children </w:t>
      </w:r>
      <w:r>
        <w:rPr>
          <w:rFonts w:ascii="Minion Pro" w:eastAsia="Minion Pro" w:hAnsi="Minion Pro" w:cs="Minion Pro"/>
          <w:b/>
          <w:bCs/>
          <w:color w:val="337AB7"/>
          <w:sz w:val="36"/>
          <w:szCs w:val="36"/>
        </w:rPr>
        <w:t xml:space="preserve">and Adolescent </w:t>
      </w:r>
      <w:r w:rsidRPr="0024638B">
        <w:rPr>
          <w:rFonts w:ascii="Minion Pro" w:eastAsia="Minion Pro" w:hAnsi="Minion Pro" w:cs="Minion Pro"/>
          <w:b/>
          <w:bCs/>
          <w:color w:val="337AB7"/>
          <w:sz w:val="36"/>
          <w:szCs w:val="36"/>
        </w:rPr>
        <w:t>with Chronic Diseases</w:t>
      </w:r>
    </w:p>
    <w:p w14:paraId="7C1616D6" w14:textId="77777777" w:rsidR="0024638B" w:rsidRPr="00BB5390" w:rsidRDefault="0024638B" w:rsidP="00BB5390"/>
    <w:p w14:paraId="27E0F32F" w14:textId="1A219943" w:rsidR="00E50FA8" w:rsidRPr="00226DB3" w:rsidRDefault="00E50FA8" w:rsidP="00E50FA8">
      <w:pPr>
        <w:pStyle w:val="Textoindependiente"/>
        <w:rPr>
          <w:rFonts w:ascii="Arial"/>
          <w:sz w:val="16"/>
          <w:szCs w:val="16"/>
          <w:lang w:val="en-GB"/>
        </w:rPr>
      </w:pPr>
      <w:r w:rsidRPr="00226DB3">
        <w:rPr>
          <w:rFonts w:ascii="Arial"/>
          <w:sz w:val="16"/>
          <w:szCs w:val="16"/>
          <w:lang w:val="en-GB"/>
        </w:rPr>
        <w:t xml:space="preserve">Marlene </w:t>
      </w:r>
      <w:r w:rsidR="00843CFA" w:rsidRPr="00226DB3">
        <w:rPr>
          <w:rFonts w:ascii="Arial"/>
          <w:sz w:val="16"/>
          <w:szCs w:val="16"/>
          <w:lang w:val="en-GB"/>
        </w:rPr>
        <w:t>Fabiola</w:t>
      </w:r>
      <w:r w:rsidRPr="00226DB3">
        <w:rPr>
          <w:rFonts w:ascii="Arial"/>
          <w:sz w:val="16"/>
          <w:szCs w:val="16"/>
          <w:lang w:val="en-GB"/>
        </w:rPr>
        <w:t xml:space="preserve"> Escobedo</w:t>
      </w:r>
      <w:r w:rsidR="00843CFA" w:rsidRPr="00226DB3">
        <w:rPr>
          <w:rFonts w:ascii="Arial"/>
          <w:sz w:val="16"/>
          <w:szCs w:val="16"/>
          <w:lang w:val="en-GB"/>
        </w:rPr>
        <w:t xml:space="preserve"> </w:t>
      </w:r>
      <w:r w:rsidRPr="00226DB3">
        <w:rPr>
          <w:rFonts w:ascii="Arial"/>
          <w:sz w:val="16"/>
          <w:szCs w:val="16"/>
          <w:lang w:val="en-GB"/>
        </w:rPr>
        <w:t xml:space="preserve">Monge, </w:t>
      </w:r>
      <w:r w:rsidR="009D76FB" w:rsidRPr="00226DB3">
        <w:rPr>
          <w:rFonts w:ascii="Arial"/>
          <w:sz w:val="16"/>
          <w:szCs w:val="16"/>
          <w:lang w:val="en-GB"/>
        </w:rPr>
        <w:t>MD</w:t>
      </w:r>
      <w:r w:rsidR="00843CFA" w:rsidRPr="00226DB3">
        <w:rPr>
          <w:rFonts w:ascii="Arial"/>
          <w:sz w:val="16"/>
          <w:szCs w:val="16"/>
          <w:lang w:val="en-GB"/>
        </w:rPr>
        <w:t xml:space="preserve">, </w:t>
      </w:r>
      <w:bookmarkStart w:id="0" w:name="_Hlk74562158"/>
      <w:r w:rsidR="00843CFA" w:rsidRPr="00226DB3">
        <w:rPr>
          <w:rFonts w:ascii="Arial"/>
          <w:sz w:val="16"/>
          <w:szCs w:val="16"/>
          <w:lang w:val="en-GB"/>
        </w:rPr>
        <w:t xml:space="preserve">Faculty of Medicine, </w:t>
      </w:r>
      <w:r w:rsidRPr="00226DB3">
        <w:rPr>
          <w:rFonts w:ascii="Arial"/>
          <w:sz w:val="16"/>
          <w:szCs w:val="16"/>
          <w:lang w:val="en-GB"/>
        </w:rPr>
        <w:t>Valladolid University</w:t>
      </w:r>
      <w:r w:rsidR="00843CFA" w:rsidRPr="00226DB3">
        <w:rPr>
          <w:rFonts w:ascii="Arial"/>
          <w:sz w:val="16"/>
          <w:szCs w:val="16"/>
          <w:lang w:val="en-GB"/>
        </w:rPr>
        <w:t>, Spain</w:t>
      </w:r>
      <w:bookmarkEnd w:id="0"/>
    </w:p>
    <w:p w14:paraId="46E8389C" w14:textId="3FB1743D" w:rsidR="00843CFA" w:rsidRPr="00226DB3" w:rsidRDefault="00843CFA" w:rsidP="00E50FA8">
      <w:pPr>
        <w:pStyle w:val="Textoindependiente"/>
        <w:rPr>
          <w:rFonts w:ascii="Arial"/>
          <w:sz w:val="16"/>
          <w:szCs w:val="16"/>
        </w:rPr>
      </w:pPr>
      <w:r w:rsidRPr="00226DB3">
        <w:rPr>
          <w:rFonts w:ascii="Arial"/>
          <w:sz w:val="16"/>
          <w:szCs w:val="16"/>
        </w:rPr>
        <w:t>M</w:t>
      </w:r>
      <w:r w:rsidR="00403EED" w:rsidRPr="00226DB3">
        <w:rPr>
          <w:rFonts w:ascii="Arial"/>
          <w:sz w:val="16"/>
          <w:szCs w:val="16"/>
        </w:rPr>
        <w:t>ar</w:t>
      </w:r>
      <w:r w:rsidR="00403EED" w:rsidRPr="00226DB3">
        <w:rPr>
          <w:rFonts w:ascii="Arial"/>
          <w:sz w:val="16"/>
          <w:szCs w:val="16"/>
        </w:rPr>
        <w:t>í</w:t>
      </w:r>
      <w:r w:rsidR="00403EED" w:rsidRPr="00226DB3">
        <w:rPr>
          <w:rFonts w:ascii="Arial"/>
          <w:sz w:val="16"/>
          <w:szCs w:val="16"/>
        </w:rPr>
        <w:t>a</w:t>
      </w:r>
      <w:r w:rsidRPr="00226DB3">
        <w:rPr>
          <w:rFonts w:ascii="Arial"/>
          <w:sz w:val="16"/>
          <w:szCs w:val="16"/>
        </w:rPr>
        <w:t xml:space="preserve"> Carmen Torres </w:t>
      </w:r>
      <w:proofErr w:type="spellStart"/>
      <w:r w:rsidRPr="00226DB3">
        <w:rPr>
          <w:rFonts w:ascii="Arial"/>
          <w:sz w:val="16"/>
          <w:szCs w:val="16"/>
        </w:rPr>
        <w:t>Hinojal</w:t>
      </w:r>
      <w:proofErr w:type="spellEnd"/>
      <w:r w:rsidRPr="00226DB3">
        <w:rPr>
          <w:rFonts w:ascii="Arial"/>
          <w:sz w:val="16"/>
          <w:szCs w:val="16"/>
        </w:rPr>
        <w:t>, Faculty of Medicine, Valladolid University, Spain</w:t>
      </w:r>
    </w:p>
    <w:p w14:paraId="1198AC1A" w14:textId="57C5E210" w:rsidR="00E50FA8" w:rsidRPr="00226DB3" w:rsidRDefault="00843CFA" w:rsidP="00E50FA8">
      <w:pPr>
        <w:pStyle w:val="Textoindependiente"/>
        <w:rPr>
          <w:rFonts w:ascii="Arial"/>
          <w:sz w:val="16"/>
          <w:szCs w:val="16"/>
          <w:lang w:val="en-GB"/>
        </w:rPr>
      </w:pPr>
      <w:r w:rsidRPr="00226DB3">
        <w:rPr>
          <w:rFonts w:ascii="Arial"/>
          <w:sz w:val="16"/>
          <w:szCs w:val="16"/>
        </w:rPr>
        <w:t xml:space="preserve">Enrique </w:t>
      </w:r>
      <w:proofErr w:type="spellStart"/>
      <w:r w:rsidRPr="00226DB3">
        <w:rPr>
          <w:rFonts w:ascii="Arial"/>
          <w:sz w:val="16"/>
          <w:szCs w:val="16"/>
        </w:rPr>
        <w:t>Barrado</w:t>
      </w:r>
      <w:proofErr w:type="spellEnd"/>
      <w:r w:rsidRPr="00226DB3">
        <w:rPr>
          <w:rFonts w:ascii="Arial"/>
          <w:sz w:val="16"/>
          <w:szCs w:val="16"/>
        </w:rPr>
        <w:t>,</w:t>
      </w:r>
      <w:r w:rsidR="00E50FA8" w:rsidRPr="00226DB3">
        <w:rPr>
          <w:rFonts w:ascii="Arial"/>
          <w:sz w:val="16"/>
          <w:szCs w:val="16"/>
        </w:rPr>
        <w:t xml:space="preserve"> </w:t>
      </w:r>
      <w:r w:rsidR="009D76FB" w:rsidRPr="00226DB3">
        <w:rPr>
          <w:rFonts w:ascii="Arial"/>
          <w:sz w:val="16"/>
          <w:szCs w:val="16"/>
        </w:rPr>
        <w:t xml:space="preserve">PhD, </w:t>
      </w:r>
      <w:r w:rsidR="00E50FA8" w:rsidRPr="00226DB3">
        <w:rPr>
          <w:rFonts w:ascii="Arial"/>
          <w:sz w:val="16"/>
          <w:szCs w:val="16"/>
        </w:rPr>
        <w:t>Department of Analytical Chemistry, Science Faculty, University of Valladolid</w:t>
      </w:r>
      <w:r w:rsidR="00BB5390">
        <w:rPr>
          <w:rFonts w:ascii="Arial"/>
          <w:sz w:val="16"/>
          <w:szCs w:val="16"/>
        </w:rPr>
        <w:t>, Spain</w:t>
      </w:r>
    </w:p>
    <w:p w14:paraId="43EFE468" w14:textId="1E5032ED" w:rsidR="00E50FA8" w:rsidRPr="00226DB3" w:rsidRDefault="00843CFA" w:rsidP="00E50FA8">
      <w:pPr>
        <w:pStyle w:val="Textoindependiente"/>
        <w:rPr>
          <w:rFonts w:ascii="Arial"/>
          <w:sz w:val="16"/>
          <w:szCs w:val="16"/>
        </w:rPr>
      </w:pPr>
      <w:r w:rsidRPr="00226DB3">
        <w:rPr>
          <w:rFonts w:ascii="Arial"/>
          <w:sz w:val="16"/>
          <w:szCs w:val="16"/>
        </w:rPr>
        <w:t>Mar</w:t>
      </w:r>
      <w:r w:rsidRPr="00226DB3">
        <w:rPr>
          <w:rFonts w:ascii="Arial"/>
          <w:sz w:val="16"/>
          <w:szCs w:val="16"/>
        </w:rPr>
        <w:t>í</w:t>
      </w:r>
      <w:r w:rsidRPr="00226DB3">
        <w:rPr>
          <w:rFonts w:ascii="Arial"/>
          <w:sz w:val="16"/>
          <w:szCs w:val="16"/>
        </w:rPr>
        <w:t xml:space="preserve">a Antonieta Escobedo Monge, </w:t>
      </w:r>
      <w:r w:rsidR="009D76FB" w:rsidRPr="00226DB3">
        <w:rPr>
          <w:rFonts w:ascii="Arial"/>
          <w:sz w:val="16"/>
          <w:szCs w:val="16"/>
        </w:rPr>
        <w:t xml:space="preserve">PhD, </w:t>
      </w:r>
      <w:r w:rsidR="00E50FA8" w:rsidRPr="00226DB3">
        <w:rPr>
          <w:rFonts w:ascii="Arial"/>
          <w:sz w:val="16"/>
          <w:szCs w:val="16"/>
        </w:rPr>
        <w:t>Department of Chemistry, Science Faculty, University of Burgos</w:t>
      </w:r>
      <w:r w:rsidR="00BB5390">
        <w:rPr>
          <w:rFonts w:ascii="Arial"/>
          <w:sz w:val="16"/>
          <w:szCs w:val="16"/>
        </w:rPr>
        <w:t>, Spain</w:t>
      </w:r>
    </w:p>
    <w:p w14:paraId="6B70EE2C" w14:textId="07D88B30" w:rsidR="00E50FA8" w:rsidRPr="00226DB3" w:rsidRDefault="00843CFA" w:rsidP="00E50FA8">
      <w:pPr>
        <w:pStyle w:val="Textoindependiente"/>
        <w:rPr>
          <w:rFonts w:ascii="Arial"/>
          <w:sz w:val="16"/>
          <w:szCs w:val="16"/>
        </w:rPr>
      </w:pPr>
      <w:r w:rsidRPr="00226DB3">
        <w:rPr>
          <w:rFonts w:ascii="Arial"/>
          <w:sz w:val="16"/>
          <w:szCs w:val="16"/>
        </w:rPr>
        <w:t>Jos</w:t>
      </w:r>
      <w:r w:rsidRPr="00226DB3">
        <w:rPr>
          <w:rFonts w:ascii="Arial"/>
          <w:sz w:val="16"/>
          <w:szCs w:val="16"/>
        </w:rPr>
        <w:t>é</w:t>
      </w:r>
      <w:r w:rsidRPr="00226DB3">
        <w:rPr>
          <w:rFonts w:ascii="Arial"/>
          <w:sz w:val="16"/>
          <w:szCs w:val="16"/>
        </w:rPr>
        <w:t xml:space="preserve"> Manuel </w:t>
      </w:r>
      <w:proofErr w:type="spellStart"/>
      <w:r w:rsidRPr="00226DB3">
        <w:rPr>
          <w:rFonts w:ascii="Arial"/>
          <w:sz w:val="16"/>
          <w:szCs w:val="16"/>
        </w:rPr>
        <w:t>Marug</w:t>
      </w:r>
      <w:r w:rsidRPr="00226DB3">
        <w:rPr>
          <w:rFonts w:ascii="Arial"/>
          <w:sz w:val="16"/>
          <w:szCs w:val="16"/>
        </w:rPr>
        <w:t>á</w:t>
      </w:r>
      <w:r w:rsidRPr="00226DB3">
        <w:rPr>
          <w:rFonts w:ascii="Arial"/>
          <w:sz w:val="16"/>
          <w:szCs w:val="16"/>
        </w:rPr>
        <w:t>n</w:t>
      </w:r>
      <w:proofErr w:type="spellEnd"/>
      <w:r w:rsidRPr="00226DB3">
        <w:rPr>
          <w:rFonts w:ascii="Arial"/>
          <w:sz w:val="16"/>
          <w:szCs w:val="16"/>
        </w:rPr>
        <w:t xml:space="preserve"> de </w:t>
      </w:r>
      <w:proofErr w:type="spellStart"/>
      <w:r w:rsidRPr="00226DB3">
        <w:rPr>
          <w:rFonts w:ascii="Arial"/>
          <w:sz w:val="16"/>
          <w:szCs w:val="16"/>
        </w:rPr>
        <w:t>Miguelsanz</w:t>
      </w:r>
      <w:proofErr w:type="spellEnd"/>
      <w:r w:rsidRPr="00226DB3">
        <w:rPr>
          <w:rFonts w:ascii="Arial"/>
          <w:sz w:val="16"/>
          <w:szCs w:val="16"/>
        </w:rPr>
        <w:t>,</w:t>
      </w:r>
      <w:r w:rsidR="00E50FA8" w:rsidRPr="00226DB3">
        <w:rPr>
          <w:rFonts w:ascii="Arial"/>
          <w:sz w:val="16"/>
          <w:szCs w:val="16"/>
        </w:rPr>
        <w:t xml:space="preserve"> </w:t>
      </w:r>
      <w:r w:rsidR="009D76FB" w:rsidRPr="00226DB3">
        <w:rPr>
          <w:rFonts w:ascii="Arial"/>
          <w:sz w:val="16"/>
          <w:szCs w:val="16"/>
        </w:rPr>
        <w:t xml:space="preserve">MD, </w:t>
      </w:r>
      <w:r w:rsidR="00E50FA8" w:rsidRPr="00226DB3">
        <w:rPr>
          <w:rFonts w:ascii="Arial"/>
          <w:sz w:val="16"/>
          <w:szCs w:val="16"/>
        </w:rPr>
        <w:t>Department of Pediatrics of the Faculty of Medicine, Valladolid University, Section of Gastroenterology and</w:t>
      </w:r>
      <w:r w:rsidRPr="00226DB3">
        <w:rPr>
          <w:rFonts w:ascii="Arial"/>
          <w:sz w:val="16"/>
          <w:szCs w:val="16"/>
        </w:rPr>
        <w:t xml:space="preserve"> </w:t>
      </w:r>
      <w:proofErr w:type="spellStart"/>
      <w:r w:rsidR="00E50FA8" w:rsidRPr="00226DB3">
        <w:rPr>
          <w:rFonts w:ascii="Arial"/>
          <w:sz w:val="16"/>
          <w:szCs w:val="16"/>
          <w:lang w:val="en-GB"/>
        </w:rPr>
        <w:t>Pediatric</w:t>
      </w:r>
      <w:proofErr w:type="spellEnd"/>
      <w:r w:rsidR="00E50FA8" w:rsidRPr="00226DB3">
        <w:rPr>
          <w:rFonts w:ascii="Arial"/>
          <w:sz w:val="16"/>
          <w:szCs w:val="16"/>
          <w:lang w:val="en-GB"/>
        </w:rPr>
        <w:t xml:space="preserve"> Nutrition, University Clinical Hospital of Valladolid</w:t>
      </w:r>
      <w:r w:rsidR="00BB5390">
        <w:rPr>
          <w:rFonts w:ascii="Arial"/>
          <w:sz w:val="16"/>
          <w:szCs w:val="16"/>
          <w:lang w:val="en-GB"/>
        </w:rPr>
        <w:t>, Spain</w:t>
      </w:r>
    </w:p>
    <w:p w14:paraId="5E114FAF" w14:textId="6816BB14" w:rsidR="00AE3E37" w:rsidRDefault="00AE3E37" w:rsidP="00E50FA8">
      <w:pPr>
        <w:pStyle w:val="Textoindependiente"/>
        <w:rPr>
          <w:rFonts w:ascii="Arial"/>
          <w:sz w:val="20"/>
        </w:rPr>
      </w:pPr>
    </w:p>
    <w:p w14:paraId="592AE3E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D772F39" w14:textId="5A254FB0" w:rsidR="00AE3E37" w:rsidRDefault="00A9710C">
      <w:pPr>
        <w:pStyle w:val="Ttulo3"/>
        <w:spacing w:before="147"/>
        <w:jc w:val="both"/>
      </w:pPr>
      <w:r>
        <w:rPr>
          <w:color w:val="BF5A14"/>
        </w:rPr>
        <w:t>Abstract</w:t>
      </w:r>
      <w:r w:rsidR="00404E5B">
        <w:rPr>
          <w:color w:val="BF5A14"/>
        </w:rPr>
        <w:t xml:space="preserve"> </w:t>
      </w:r>
    </w:p>
    <w:p w14:paraId="09A221F0" w14:textId="77777777" w:rsidR="00F35FA6" w:rsidRDefault="002476AB" w:rsidP="00F35FA6">
      <w:pPr>
        <w:pStyle w:val="Ttulo3"/>
        <w:spacing w:before="120" w:line="288" w:lineRule="auto"/>
        <w:ind w:left="102"/>
        <w:jc w:val="both"/>
        <w:rPr>
          <w:rFonts w:ascii="Tw Cen MT" w:eastAsia="Tw Cen MT" w:hAnsi="Tw Cen MT" w:cs="Tw Cen MT"/>
          <w:b w:val="0"/>
          <w:bCs w:val="0"/>
        </w:rPr>
      </w:pPr>
      <w:r w:rsidRPr="00F35FA6">
        <w:rPr>
          <w:rFonts w:ascii="Tw Cen MT" w:eastAsia="Tw Cen MT" w:hAnsi="Tw Cen MT" w:cs="Tw Cen MT"/>
          <w:b w:val="0"/>
          <w:bCs w:val="0"/>
        </w:rPr>
        <w:t>Statement of the problem: Zinc is an essential micronutrient and plays a significant role in human growth and development. Zinc deficiency is a public health problem and is now widely recognized as a one of the main risk factors for morbidity and mortality. There are few studies of zinc deficiency in children with chronic diseases. Therefore, the purpose of this study was to evaluate the nutritional status of zinc and its association with nutritional indicators in a series of children with chronic diseases. Methodology: A cross-sectional and comparative study was carried out by design. Anthropometric, biochemical, and dietary assessment were performed. The participants were classified according to their nutritional status by body mass index (BMI). The prevalence of patients with dietary zinc deficiency (&lt;80% DRI: Dietary Reference Intake) was analyzed through prospective 72 h dietary surveys with a weekday, and hypozincemia (under 70 µg/dL in children under 10 years of age in both sexes and in females older than 10 years and below 74 µg/dL in males older than 10 years) was measured through atomic absorption spectrophotometry. Findings: Seventy-eight patients (43 females, 55%), 24 children with obesity, 30 with undernutrition, and 24 with normal BMI took part in this study. Mean serum zinc concentration in obese (87 µg/dL), undernourished (85 µg/dL), and eutrophic children (88 µg/dL) were normal, but in the undernutrition (60% DRI) and eutrophic (67% DRI) groups the mean dietary zinc intake was low compared to that in the obesity group (81% DRI). There were different associations between nutritional parameters, dietary zinc intake, and serum zinc. There were five cases with hypozincemia. All patients with hypozincemia had dietary zinc deficiency. Conclusions &amp; Significance: In the whole series, 69% of participants showed a zinc intake lower than recommended and might be at high risk of zinc deficiency.</w:t>
      </w:r>
    </w:p>
    <w:p w14:paraId="13D75B90" w14:textId="0B7459B5" w:rsidR="00AE3E37" w:rsidRDefault="00A9710C" w:rsidP="00F35FA6">
      <w:pPr>
        <w:pStyle w:val="Ttulo3"/>
        <w:spacing w:before="120" w:line="288" w:lineRule="auto"/>
        <w:ind w:left="102"/>
        <w:jc w:val="both"/>
        <w:rPr>
          <w:color w:val="BF5A14"/>
        </w:rPr>
      </w:pPr>
      <w:r>
        <w:rPr>
          <w:b w:val="0"/>
        </w:rPr>
        <w:br w:type="column"/>
      </w:r>
      <w:r>
        <w:rPr>
          <w:color w:val="BF5A14"/>
        </w:rPr>
        <w:t>Image</w:t>
      </w:r>
    </w:p>
    <w:p w14:paraId="3410D5C6" w14:textId="77777777" w:rsidR="008B4C76" w:rsidRPr="008B4C76" w:rsidRDefault="008B4C76">
      <w:pPr>
        <w:pStyle w:val="Ttulo3"/>
        <w:spacing w:before="74"/>
        <w:rPr>
          <w:sz w:val="8"/>
          <w:szCs w:val="8"/>
        </w:rPr>
      </w:pPr>
    </w:p>
    <w:p w14:paraId="47E0689F" w14:textId="34F712F9" w:rsidR="00AE3E37" w:rsidRDefault="008B4C76">
      <w:pPr>
        <w:pStyle w:val="Textoindependiente"/>
        <w:spacing w:before="2"/>
        <w:rPr>
          <w:noProof/>
        </w:rPr>
      </w:pPr>
      <w:r>
        <w:rPr>
          <w:noProof/>
        </w:rPr>
        <w:drawing>
          <wp:inline distT="0" distB="0" distL="0" distR="0" wp14:anchorId="643E4B4F" wp14:editId="59DF27FF">
            <wp:extent cx="3165475" cy="16967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696720"/>
                    </a:xfrm>
                    <a:prstGeom prst="rect">
                      <a:avLst/>
                    </a:prstGeom>
                    <a:noFill/>
                    <a:ln>
                      <a:noFill/>
                    </a:ln>
                  </pic:spPr>
                </pic:pic>
              </a:graphicData>
            </a:graphic>
          </wp:inline>
        </w:drawing>
      </w:r>
    </w:p>
    <w:p w14:paraId="3661BA87" w14:textId="252AA3F9" w:rsidR="008B4C76" w:rsidRDefault="008B4C76" w:rsidP="008B4C76">
      <w:pPr>
        <w:pStyle w:val="Textoindependiente"/>
        <w:spacing w:before="2"/>
        <w:rPr>
          <w:noProof/>
        </w:rPr>
      </w:pPr>
      <w:r>
        <w:rPr>
          <w:noProof/>
        </w:rPr>
        <w:t>Figure1. Median, mean, and quartiles of the time of illness, serum zinc, and dietary zinc intake in the whole series by nutritional status via body mass index (N = 78).</w:t>
      </w:r>
    </w:p>
    <w:p w14:paraId="071A7647" w14:textId="6BF9685B" w:rsidR="005973B9" w:rsidRDefault="005973B9" w:rsidP="005973B9">
      <w:pPr>
        <w:spacing w:line="204" w:lineRule="exact"/>
        <w:rPr>
          <w:rFonts w:ascii="Arial"/>
          <w:b/>
          <w:sz w:val="20"/>
        </w:rPr>
      </w:pPr>
      <w:r>
        <w:rPr>
          <w:rFonts w:ascii="Arial"/>
          <w:b/>
          <w:color w:val="BF5A14"/>
          <w:sz w:val="20"/>
        </w:rPr>
        <w:br/>
        <w:t xml:space="preserve">Recent Publications </w:t>
      </w:r>
    </w:p>
    <w:p w14:paraId="1D384575" w14:textId="1A6223FE" w:rsidR="005973B9" w:rsidRPr="00226DB3" w:rsidRDefault="008B4C76" w:rsidP="005973B9">
      <w:pPr>
        <w:pStyle w:val="Prrafodelista"/>
        <w:numPr>
          <w:ilvl w:val="0"/>
          <w:numId w:val="3"/>
        </w:numPr>
        <w:tabs>
          <w:tab w:val="left" w:pos="384"/>
        </w:tabs>
        <w:spacing w:before="103" w:line="216" w:lineRule="exact"/>
        <w:ind w:right="138" w:hanging="283"/>
        <w:rPr>
          <w:sz w:val="16"/>
          <w:szCs w:val="20"/>
        </w:rPr>
      </w:pPr>
      <w:r w:rsidRPr="00226DB3">
        <w:rPr>
          <w:sz w:val="16"/>
          <w:szCs w:val="20"/>
        </w:rPr>
        <w:t>Escobedo-Monge, M.F.; Torres-</w:t>
      </w:r>
      <w:proofErr w:type="spellStart"/>
      <w:r w:rsidRPr="00226DB3">
        <w:rPr>
          <w:sz w:val="16"/>
          <w:szCs w:val="20"/>
        </w:rPr>
        <w:t>Hinojal</w:t>
      </w:r>
      <w:proofErr w:type="spellEnd"/>
      <w:r w:rsidRPr="00226DB3">
        <w:rPr>
          <w:sz w:val="16"/>
          <w:szCs w:val="20"/>
        </w:rPr>
        <w:t xml:space="preserve">, M.C.; </w:t>
      </w:r>
      <w:proofErr w:type="spellStart"/>
      <w:r w:rsidRPr="00226DB3">
        <w:rPr>
          <w:sz w:val="16"/>
          <w:szCs w:val="20"/>
        </w:rPr>
        <w:t>Barrado</w:t>
      </w:r>
      <w:proofErr w:type="spellEnd"/>
      <w:r w:rsidRPr="00226DB3">
        <w:rPr>
          <w:sz w:val="16"/>
          <w:szCs w:val="20"/>
        </w:rPr>
        <w:t>, E.; Escobedo-Monge, M.A.; Marugán-Miguelsanz, J.M. Zinc Nutritional Status in a Series of Children with Chronic Diseases: A Cross-Sectional Study. Nutrients 2021, 13, 1121.</w:t>
      </w:r>
    </w:p>
    <w:p w14:paraId="12CD4DCF" w14:textId="0BDE01E3" w:rsidR="005973B9" w:rsidRPr="00226DB3" w:rsidRDefault="008B4C76" w:rsidP="00A830E2">
      <w:pPr>
        <w:pStyle w:val="Prrafodelista"/>
        <w:numPr>
          <w:ilvl w:val="0"/>
          <w:numId w:val="3"/>
        </w:numPr>
        <w:tabs>
          <w:tab w:val="left" w:pos="384"/>
        </w:tabs>
        <w:spacing w:line="216" w:lineRule="exact"/>
        <w:ind w:right="137"/>
        <w:rPr>
          <w:sz w:val="16"/>
          <w:szCs w:val="20"/>
        </w:rPr>
      </w:pPr>
      <w:r w:rsidRPr="00226DB3">
        <w:rPr>
          <w:sz w:val="16"/>
          <w:szCs w:val="20"/>
        </w:rPr>
        <w:t xml:space="preserve">Escobedo, M.F.; </w:t>
      </w:r>
      <w:proofErr w:type="spellStart"/>
      <w:r w:rsidRPr="00226DB3">
        <w:rPr>
          <w:sz w:val="16"/>
          <w:szCs w:val="20"/>
        </w:rPr>
        <w:t>Barrado</w:t>
      </w:r>
      <w:proofErr w:type="spellEnd"/>
      <w:r w:rsidRPr="00226DB3">
        <w:rPr>
          <w:sz w:val="16"/>
          <w:szCs w:val="20"/>
        </w:rPr>
        <w:t xml:space="preserve">, E.; Alonso, C.; </w:t>
      </w:r>
      <w:proofErr w:type="spellStart"/>
      <w:r w:rsidRPr="00226DB3">
        <w:rPr>
          <w:sz w:val="16"/>
          <w:szCs w:val="20"/>
        </w:rPr>
        <w:t>Marugán</w:t>
      </w:r>
      <w:proofErr w:type="spellEnd"/>
      <w:r w:rsidRPr="00226DB3">
        <w:rPr>
          <w:sz w:val="16"/>
          <w:szCs w:val="20"/>
        </w:rPr>
        <w:t xml:space="preserve"> de </w:t>
      </w:r>
      <w:proofErr w:type="spellStart"/>
      <w:r w:rsidRPr="00226DB3">
        <w:rPr>
          <w:sz w:val="16"/>
          <w:szCs w:val="20"/>
        </w:rPr>
        <w:t>Miguelsanz</w:t>
      </w:r>
      <w:proofErr w:type="spellEnd"/>
      <w:r w:rsidRPr="00226DB3">
        <w:rPr>
          <w:sz w:val="16"/>
          <w:szCs w:val="20"/>
        </w:rPr>
        <w:t xml:space="preserve">, J.M. Comparison study between colorimetric method and flame atomic absorption spectrophotometry in serum zinc status. </w:t>
      </w:r>
      <w:proofErr w:type="spellStart"/>
      <w:r w:rsidRPr="00226DB3">
        <w:rPr>
          <w:sz w:val="16"/>
          <w:szCs w:val="20"/>
        </w:rPr>
        <w:t>Nutr</w:t>
      </w:r>
      <w:proofErr w:type="spellEnd"/>
      <w:r w:rsidRPr="00226DB3">
        <w:rPr>
          <w:sz w:val="16"/>
          <w:szCs w:val="20"/>
        </w:rPr>
        <w:t>. Clin. Diet. Hosp. 2018, 38, 128–133</w:t>
      </w:r>
      <w:r w:rsidR="005973B9" w:rsidRPr="00226DB3">
        <w:rPr>
          <w:sz w:val="16"/>
          <w:szCs w:val="20"/>
        </w:rPr>
        <w:t>.</w:t>
      </w:r>
    </w:p>
    <w:p w14:paraId="692EA96E" w14:textId="418926E6" w:rsidR="005973B9" w:rsidRDefault="008B4C76" w:rsidP="00361C81">
      <w:pPr>
        <w:pStyle w:val="Prrafodelista"/>
        <w:numPr>
          <w:ilvl w:val="0"/>
          <w:numId w:val="3"/>
        </w:numPr>
        <w:tabs>
          <w:tab w:val="left" w:pos="384"/>
        </w:tabs>
        <w:spacing w:line="216" w:lineRule="exact"/>
        <w:ind w:right="138"/>
        <w:rPr>
          <w:sz w:val="16"/>
          <w:szCs w:val="20"/>
        </w:rPr>
      </w:pPr>
      <w:r w:rsidRPr="00226DB3">
        <w:rPr>
          <w:sz w:val="16"/>
          <w:szCs w:val="20"/>
          <w:lang w:val="en-GB"/>
        </w:rPr>
        <w:t xml:space="preserve">Escobedo-Monge, M.F.; Ayala-Macedo, G.; Sakihara, G.; Peralta, S.; Almaraz-Gómez, A.; Barrado, E.; Marugán-Miguelsanz, J.M. </w:t>
      </w:r>
      <w:r w:rsidRPr="00226DB3">
        <w:rPr>
          <w:sz w:val="16"/>
          <w:szCs w:val="20"/>
        </w:rPr>
        <w:t>Effects of Zinc Supplementation on Nutritional Status in Children with Chronic Kidney Disease: A Randomized Trial. Nutrients 2019, 11, 2671.</w:t>
      </w:r>
    </w:p>
    <w:p w14:paraId="45A61428" w14:textId="5097402A" w:rsidR="00E830DB" w:rsidRPr="00E830DB" w:rsidRDefault="00E830DB" w:rsidP="00B15876">
      <w:pPr>
        <w:pStyle w:val="Prrafodelista"/>
        <w:numPr>
          <w:ilvl w:val="0"/>
          <w:numId w:val="3"/>
        </w:numPr>
        <w:tabs>
          <w:tab w:val="left" w:pos="384"/>
        </w:tabs>
        <w:spacing w:line="216" w:lineRule="exact"/>
        <w:ind w:right="138"/>
        <w:rPr>
          <w:sz w:val="16"/>
          <w:szCs w:val="20"/>
        </w:rPr>
      </w:pPr>
      <w:r w:rsidRPr="00E830DB">
        <w:rPr>
          <w:sz w:val="16"/>
          <w:szCs w:val="20"/>
        </w:rPr>
        <w:t xml:space="preserve">Escobedo-Monge, </w:t>
      </w:r>
      <w:r w:rsidRPr="00E830DB">
        <w:rPr>
          <w:sz w:val="16"/>
          <w:szCs w:val="20"/>
        </w:rPr>
        <w:t>M.A.; Aparicio, S.; Escobedo-Monge, M.F.; Marugán-Miguelsanz, J.M. Long-Term Effects of the Application of</w:t>
      </w:r>
      <w:r w:rsidRPr="00E830DB">
        <w:rPr>
          <w:sz w:val="16"/>
          <w:szCs w:val="20"/>
        </w:rPr>
        <w:t xml:space="preserve"> </w:t>
      </w:r>
      <w:r w:rsidRPr="00E830DB">
        <w:rPr>
          <w:sz w:val="16"/>
          <w:szCs w:val="20"/>
        </w:rPr>
        <w:t>Urban Waste Compost and Other Organic Amendments on Solanum tuberosum L. Agronomy 2020, 10, 1575</w:t>
      </w:r>
      <w:r>
        <w:rPr>
          <w:sz w:val="16"/>
          <w:szCs w:val="20"/>
        </w:rPr>
        <w:t>.</w:t>
      </w:r>
    </w:p>
    <w:p w14:paraId="01B265AE" w14:textId="391F0E04" w:rsidR="005973B9" w:rsidRPr="00226DB3" w:rsidRDefault="005973B9" w:rsidP="005973B9">
      <w:pPr>
        <w:pStyle w:val="Textoindependiente"/>
        <w:spacing w:before="85" w:line="216" w:lineRule="exact"/>
        <w:ind w:left="383" w:right="138" w:hanging="284"/>
        <w:jc w:val="both"/>
        <w:rPr>
          <w:rFonts w:ascii="Calibri" w:hAnsi="Calibri"/>
          <w:sz w:val="16"/>
          <w:szCs w:val="16"/>
        </w:rPr>
      </w:pPr>
      <w:r w:rsidRPr="00226DB3">
        <w:rPr>
          <w:rFonts w:ascii="Calibri" w:hAnsi="Calibri"/>
          <w:sz w:val="16"/>
          <w:szCs w:val="16"/>
        </w:rPr>
        <w:t xml:space="preserve">5. </w:t>
      </w:r>
      <w:r w:rsidR="00F35FA6" w:rsidRPr="00226DB3">
        <w:rPr>
          <w:rFonts w:ascii="Calibri" w:hAnsi="Calibri"/>
          <w:sz w:val="16"/>
          <w:szCs w:val="16"/>
        </w:rPr>
        <w:t xml:space="preserve">Escobedo-Monge, M.F.; </w:t>
      </w:r>
      <w:proofErr w:type="spellStart"/>
      <w:r w:rsidR="00F35FA6" w:rsidRPr="00226DB3">
        <w:rPr>
          <w:rFonts w:ascii="Calibri" w:hAnsi="Calibri"/>
          <w:sz w:val="16"/>
          <w:szCs w:val="16"/>
        </w:rPr>
        <w:t>Barrado</w:t>
      </w:r>
      <w:proofErr w:type="spellEnd"/>
      <w:r w:rsidR="00F35FA6" w:rsidRPr="00226DB3">
        <w:rPr>
          <w:rFonts w:ascii="Calibri" w:hAnsi="Calibri"/>
          <w:sz w:val="16"/>
          <w:szCs w:val="16"/>
        </w:rPr>
        <w:t>, E.; Alonso Vicente, C.; Escobedo-Monge, M.A.; Torres-</w:t>
      </w:r>
      <w:proofErr w:type="spellStart"/>
      <w:r w:rsidR="00F35FA6" w:rsidRPr="00226DB3">
        <w:rPr>
          <w:rFonts w:ascii="Calibri" w:hAnsi="Calibri"/>
          <w:sz w:val="16"/>
          <w:szCs w:val="16"/>
        </w:rPr>
        <w:t>Hinojal</w:t>
      </w:r>
      <w:proofErr w:type="spellEnd"/>
      <w:r w:rsidR="00F35FA6" w:rsidRPr="00226DB3">
        <w:rPr>
          <w:rFonts w:ascii="Calibri" w:hAnsi="Calibri"/>
          <w:sz w:val="16"/>
          <w:szCs w:val="16"/>
        </w:rPr>
        <w:t>, M.C.; Marugán-Miguelsanz, J.M.; Redondo del Río, M.P. Copper and Copper/Zinc Ratio in a Series of Cystic Fibrosis Patients. Nutrients 2020, 12, 3344.</w:t>
      </w:r>
    </w:p>
    <w:p w14:paraId="1CBC7E34" w14:textId="45027F95"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06424BF0" w14:textId="77777777" w:rsidR="00AE3E37" w:rsidRDefault="00AE3E37">
      <w:pPr>
        <w:pStyle w:val="Textoindependiente"/>
        <w:rPr>
          <w:rFonts w:ascii="Calibri"/>
          <w:sz w:val="20"/>
        </w:rPr>
      </w:pPr>
    </w:p>
    <w:p w14:paraId="3867EEC2" w14:textId="77777777"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3A541883" wp14:editId="473D25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36FC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C78C7C" w14:textId="5BA0951F" w:rsidR="00226DB3"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FCB8D14" wp14:editId="2C520B91">
                <wp:simplePos x="0" y="0"/>
                <wp:positionH relativeFrom="column">
                  <wp:posOffset>4556544</wp:posOffset>
                </wp:positionH>
                <wp:positionV relativeFrom="paragraph">
                  <wp:posOffset>364921</wp:posOffset>
                </wp:positionV>
                <wp:extent cx="947109" cy="627931"/>
                <wp:effectExtent l="19050" t="19050" r="24765"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109" cy="62793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C84ECC9" w14:textId="3A85A8DE" w:rsidR="00A52075" w:rsidRDefault="00BC3D56" w:rsidP="00A52075">
                            <w:pPr>
                              <w:rPr>
                                <w:b/>
                                <w:color w:val="0000FF"/>
                                <w:lang w:val="en-IN"/>
                              </w:rPr>
                            </w:pPr>
                            <w:r w:rsidRPr="00BB5390">
                              <w:rPr>
                                <w:noProof/>
                              </w:rPr>
                              <w:drawing>
                                <wp:inline distT="0" distB="0" distL="0" distR="0" wp14:anchorId="34AC27FD" wp14:editId="2F0CD921">
                                  <wp:extent cx="671195" cy="404848"/>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1195" cy="40484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CB8D14" id="Rounded Rectangle 2" o:spid="_x0000_s1026" style="position:absolute;margin-left:358.8pt;margin-top:28.75pt;width:74.6pt;height:4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" strokecolor="#9bbb59" strokeweight="2.5pt">
                <v:shadow color="#868686"/>
                <v:textbox>
                  <w:txbxContent>
                    <w:p w14:paraId="6C84ECC9" w14:textId="3A85A8DE" w:rsidR="00A52075" w:rsidRDefault="00BC3D56" w:rsidP="00A52075">
                      <w:pPr>
                        <w:rPr>
                          <w:b/>
                          <w:color w:val="0000FF"/>
                          <w:lang w:val="en-IN"/>
                        </w:rPr>
                      </w:pPr>
                      <w:r w:rsidRPr="00BB5390">
                        <w:rPr>
                          <w:noProof/>
                        </w:rPr>
                        <w:drawing>
                          <wp:inline distT="0" distB="0" distL="0" distR="0" wp14:anchorId="34AC27FD" wp14:editId="2F0CD921">
                            <wp:extent cx="671195" cy="404848"/>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1195" cy="404848"/>
                                    </a:xfrm>
                                    <a:prstGeom prst="rect">
                                      <a:avLst/>
                                    </a:prstGeom>
                                    <a:noFill/>
                                    <a:ln>
                                      <a:noFill/>
                                    </a:ln>
                                  </pic:spPr>
                                </pic:pic>
                              </a:graphicData>
                            </a:graphic>
                          </wp:inline>
                        </w:drawing>
                      </w:r>
                    </w:p>
                  </w:txbxContent>
                </v:textbox>
              </v:roundrect>
            </w:pict>
          </mc:Fallback>
        </mc:AlternateContent>
      </w:r>
      <w:r w:rsidR="008756E6">
        <w:rPr>
          <w:noProof/>
        </w:rPr>
        <w:t xml:space="preserve">              </w:t>
      </w:r>
      <w:r w:rsidR="00226DB3">
        <w:rPr>
          <w:noProof/>
          <w:lang w:val="en-IN" w:eastAsia="en-IN" w:bidi="te-IN"/>
        </w:rPr>
        <w:drawing>
          <wp:inline distT="0" distB="0" distL="0" distR="0" wp14:anchorId="3EE61913" wp14:editId="2CA793B5">
            <wp:extent cx="1361787" cy="141557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4230" cy="1449302"/>
                    </a:xfrm>
                    <a:prstGeom prst="rect">
                      <a:avLst/>
                    </a:prstGeom>
                    <a:noFill/>
                    <a:ln>
                      <a:noFill/>
                    </a:ln>
                  </pic:spPr>
                </pic:pic>
              </a:graphicData>
            </a:graphic>
          </wp:inline>
        </w:drawing>
      </w:r>
    </w:p>
    <w:p w14:paraId="73C6352B" w14:textId="77777777" w:rsidR="00BB5390" w:rsidRDefault="00BB5390" w:rsidP="00226DB3">
      <w:pPr>
        <w:spacing w:before="92"/>
        <w:ind w:left="213" w:right="4234"/>
        <w:rPr>
          <w:rFonts w:ascii="Arial"/>
          <w:color w:val="BF5A14"/>
        </w:rPr>
      </w:pPr>
    </w:p>
    <w:p w14:paraId="063F67A4" w14:textId="646EEAAD" w:rsidR="00AE3E37" w:rsidRDefault="00A9710C" w:rsidP="00E830DB">
      <w:pPr>
        <w:spacing w:before="92" w:after="120"/>
        <w:ind w:left="215" w:right="4235"/>
        <w:rPr>
          <w:rFonts w:ascii="Arial"/>
        </w:rPr>
      </w:pPr>
      <w:r>
        <w:rPr>
          <w:rFonts w:ascii="Arial"/>
          <w:color w:val="BF5A14"/>
        </w:rPr>
        <w:t>Biography</w:t>
      </w:r>
      <w:r w:rsidR="00404E5B">
        <w:rPr>
          <w:rFonts w:ascii="Arial"/>
          <w:color w:val="BF5A14"/>
        </w:rPr>
        <w:t xml:space="preserve"> </w:t>
      </w:r>
    </w:p>
    <w:p w14:paraId="4977A5EA" w14:textId="6950FFC0" w:rsidR="00AE3E37" w:rsidRPr="00BC3D56" w:rsidRDefault="00BB5390" w:rsidP="00B064AB">
      <w:pPr>
        <w:spacing w:before="41" w:after="40" w:line="154" w:lineRule="exact"/>
        <w:ind w:left="215" w:right="232"/>
        <w:jc w:val="both"/>
        <w:rPr>
          <w:rFonts w:ascii="Arial"/>
          <w:sz w:val="16"/>
          <w:szCs w:val="24"/>
        </w:rPr>
      </w:pPr>
      <w:r w:rsidRPr="00BC3D56">
        <w:rPr>
          <w:rFonts w:ascii="Arial"/>
          <w:sz w:val="16"/>
          <w:szCs w:val="24"/>
        </w:rPr>
        <w:t>Marlene is a pediatrician, Doctor of Medicine, and researcher at the Faculty of Medicine of the Valladolid University. She has a doctorate in "Health Sciences Research", two master's degrees, one in "Clinical Nutrition" and the other in "Biological Aspects of Nutrition." She is a peer reviewer for the MDPI editorial, International Journal of Environmental Research and Public Health and Medicine. She is very interested in food security and food biofortification and especially in the research that is being carried out on micronutrients in the nutritional status of patients with malnutrition and chronic diseases, especially in childhood and adolescence. She believes in the value of preventive medicine in reducing chronic diseases throughout the life of the human being.</w:t>
      </w:r>
    </w:p>
    <w:p w14:paraId="63705000" w14:textId="77777777" w:rsidR="00BB5390" w:rsidRDefault="00BB5390">
      <w:pPr>
        <w:spacing w:before="41" w:line="154" w:lineRule="exact"/>
        <w:ind w:left="213" w:right="231"/>
        <w:jc w:val="both"/>
        <w:rPr>
          <w:rFonts w:ascii="Arial"/>
          <w:sz w:val="14"/>
        </w:rPr>
      </w:pPr>
    </w:p>
    <w:p w14:paraId="0E24E9B6" w14:textId="76A043E6" w:rsidR="00AE3E37" w:rsidRDefault="00A9710C" w:rsidP="00BB5390">
      <w:pPr>
        <w:pStyle w:val="Prrafodelista"/>
        <w:jc w:val="center"/>
      </w:pPr>
      <w:r w:rsidRPr="00BB5390">
        <w:rPr>
          <w:sz w:val="14"/>
          <w:szCs w:val="14"/>
        </w:rPr>
        <w:t xml:space="preserve">Email: </w:t>
      </w:r>
      <w:hyperlink r:id="rId11" w:history="1">
        <w:r w:rsidR="00BB5390" w:rsidRPr="007D2712">
          <w:rPr>
            <w:rStyle w:val="Hipervnculo"/>
            <w:rFonts w:ascii="Arial"/>
            <w:sz w:val="14"/>
          </w:rPr>
          <w:t>amescobedo@msn.com</w:t>
        </w:r>
      </w:hyperlink>
    </w:p>
    <w:p w14:paraId="3251080D" w14:textId="77777777" w:rsidR="00BB5390" w:rsidRDefault="00BB5390">
      <w:pPr>
        <w:spacing w:before="62"/>
        <w:ind w:left="4217" w:right="4235"/>
        <w:jc w:val="center"/>
        <w:rPr>
          <w:rFonts w:ascii="Arial"/>
          <w:sz w:val="14"/>
        </w:rPr>
      </w:pPr>
    </w:p>
    <w:p w14:paraId="3926AD94" w14:textId="77777777"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320DF486" wp14:editId="5C6A90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0CFD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BDDE507" w14:textId="77777777" w:rsidR="00AE3E37" w:rsidRDefault="00AE3E37">
      <w:pPr>
        <w:pStyle w:val="Textoindependiente"/>
        <w:rPr>
          <w:rFonts w:ascii="Arial"/>
          <w:sz w:val="20"/>
        </w:rPr>
      </w:pPr>
    </w:p>
    <w:p w14:paraId="2AA8045A" w14:textId="77777777" w:rsidR="00AE3E37" w:rsidRDefault="00AE3E37">
      <w:pPr>
        <w:pStyle w:val="Textoindependiente"/>
        <w:rPr>
          <w:rFonts w:ascii="Arial"/>
          <w:sz w:val="20"/>
        </w:rPr>
      </w:pPr>
    </w:p>
    <w:p w14:paraId="5F533297" w14:textId="2C46B450" w:rsidR="00AE3E37" w:rsidRDefault="00A9710C" w:rsidP="00E830DB">
      <w:pPr>
        <w:spacing w:before="39"/>
        <w:rPr>
          <w:rFonts w:ascii="Minion Pro"/>
          <w:b/>
          <w:sz w:val="20"/>
        </w:rPr>
      </w:pPr>
      <w:r w:rsidRPr="00B21A57">
        <w:rPr>
          <w:rFonts w:ascii="Minion Pro"/>
          <w:b/>
          <w:sz w:val="20"/>
        </w:rPr>
        <w:t>Notes/Comments:</w:t>
      </w:r>
    </w:p>
    <w:p w14:paraId="2F803BBA" w14:textId="77777777" w:rsidR="00BB5390" w:rsidRPr="00B21A57" w:rsidRDefault="00BB5390">
      <w:pPr>
        <w:spacing w:before="39"/>
        <w:ind w:left="100"/>
        <w:rPr>
          <w:rFonts w:ascii="Minion Pro"/>
          <w:b/>
          <w:sz w:val="20"/>
        </w:rPr>
      </w:pPr>
    </w:p>
    <w:p w14:paraId="4EA223FB" w14:textId="092BB439" w:rsidR="00F046EA" w:rsidRDefault="00F046EA" w:rsidP="00F046EA">
      <w:pPr>
        <w:jc w:val="both"/>
        <w:rPr>
          <w:b/>
        </w:rPr>
      </w:pPr>
      <w:r w:rsidRPr="0013708E">
        <w:rPr>
          <w:b/>
        </w:rPr>
        <w:t xml:space="preserve">Presenting author details </w:t>
      </w:r>
    </w:p>
    <w:p w14:paraId="6CAD93DE" w14:textId="77777777" w:rsidR="00BB5390" w:rsidRPr="0013708E" w:rsidRDefault="00BB5390" w:rsidP="00F046EA">
      <w:pPr>
        <w:jc w:val="both"/>
        <w:rPr>
          <w:b/>
        </w:rPr>
      </w:pPr>
    </w:p>
    <w:p w14:paraId="3D4B307F" w14:textId="2B8895D3" w:rsidR="00F046EA" w:rsidRPr="0013708E" w:rsidRDefault="00F046EA" w:rsidP="00F046EA">
      <w:pPr>
        <w:jc w:val="both"/>
      </w:pPr>
      <w:r w:rsidRPr="0013708E">
        <w:t xml:space="preserve">Full name: </w:t>
      </w:r>
      <w:r w:rsidR="00BC3D56">
        <w:tab/>
      </w:r>
      <w:r w:rsidR="00BC3D56">
        <w:tab/>
        <w:t>MARLENE FABIOLA ESCOBEDO MONGE</w:t>
      </w:r>
    </w:p>
    <w:p w14:paraId="08904996" w14:textId="287555F8" w:rsidR="00F046EA" w:rsidRDefault="00F046EA" w:rsidP="00F046EA">
      <w:pPr>
        <w:jc w:val="both"/>
      </w:pPr>
      <w:r w:rsidRPr="0013708E">
        <w:t>Contact number:</w:t>
      </w:r>
      <w:r w:rsidR="00BC3D56">
        <w:tab/>
      </w:r>
      <w:r w:rsidR="00BC3D56">
        <w:tab/>
        <w:t>0034639590467</w:t>
      </w:r>
    </w:p>
    <w:p w14:paraId="2263C3FB" w14:textId="4E5B5724" w:rsidR="00F046EA" w:rsidRPr="0013708E" w:rsidRDefault="00F046EA" w:rsidP="00F046EA">
      <w:pPr>
        <w:jc w:val="both"/>
      </w:pPr>
      <w:r>
        <w:t xml:space="preserve">Mail id: </w:t>
      </w:r>
      <w:r w:rsidR="00BC3D56">
        <w:tab/>
      </w:r>
      <w:r w:rsidR="00BC3D56">
        <w:tab/>
        <w:t>amescobedo@msn.com</w:t>
      </w:r>
    </w:p>
    <w:p w14:paraId="68622868" w14:textId="05544CA4" w:rsidR="00F046EA" w:rsidRDefault="00F046EA" w:rsidP="00F046EA">
      <w:pPr>
        <w:jc w:val="both"/>
      </w:pPr>
      <w:r w:rsidRPr="0013708E">
        <w:t xml:space="preserve">Category: </w:t>
      </w:r>
      <w:r w:rsidR="00BC3D56">
        <w:tab/>
      </w:r>
      <w:r w:rsidR="00BC3D56">
        <w:tab/>
      </w:r>
      <w:r w:rsidRPr="0013708E">
        <w:t>Oral presentation</w:t>
      </w:r>
      <w:r>
        <w:t xml:space="preserve"> </w:t>
      </w:r>
    </w:p>
    <w:p w14:paraId="18B50EC7" w14:textId="77777777" w:rsidR="00AE3E37" w:rsidRDefault="00AE3E37">
      <w:pPr>
        <w:pStyle w:val="Textoindependiente"/>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1F015" w14:textId="77777777" w:rsidR="00714354" w:rsidRDefault="00714354">
      <w:r>
        <w:separator/>
      </w:r>
    </w:p>
  </w:endnote>
  <w:endnote w:type="continuationSeparator" w:id="0">
    <w:p w14:paraId="74B0183F" w14:textId="77777777" w:rsidR="00714354" w:rsidRDefault="0071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5597"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5F5804D1" wp14:editId="4EBDB2B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603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C985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804D1"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3B5603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C985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7E3327" wp14:editId="2A7D58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9EE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04DF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E332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E09EE3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04DF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A9BDBB" wp14:editId="7BE072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58F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2E9D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9BDB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AC58F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2E9D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48CD4" w14:textId="77777777" w:rsidR="00714354" w:rsidRDefault="00714354">
      <w:r>
        <w:separator/>
      </w:r>
    </w:p>
  </w:footnote>
  <w:footnote w:type="continuationSeparator" w:id="0">
    <w:p w14:paraId="1DCA1BD0" w14:textId="77777777" w:rsidR="00714354" w:rsidRDefault="007143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69A4237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26DB3"/>
    <w:rsid w:val="0024638B"/>
    <w:rsid w:val="002476AB"/>
    <w:rsid w:val="00292ED9"/>
    <w:rsid w:val="00351D9B"/>
    <w:rsid w:val="00380299"/>
    <w:rsid w:val="00403EED"/>
    <w:rsid w:val="00404E5B"/>
    <w:rsid w:val="00414F7B"/>
    <w:rsid w:val="004355DC"/>
    <w:rsid w:val="004749B4"/>
    <w:rsid w:val="00494130"/>
    <w:rsid w:val="004F3523"/>
    <w:rsid w:val="005973B9"/>
    <w:rsid w:val="005B3A56"/>
    <w:rsid w:val="006060CE"/>
    <w:rsid w:val="0061505C"/>
    <w:rsid w:val="0063497F"/>
    <w:rsid w:val="00714354"/>
    <w:rsid w:val="007E750F"/>
    <w:rsid w:val="00843CFA"/>
    <w:rsid w:val="00873DF0"/>
    <w:rsid w:val="008756E6"/>
    <w:rsid w:val="00897EC5"/>
    <w:rsid w:val="008B4C76"/>
    <w:rsid w:val="008E5477"/>
    <w:rsid w:val="009B2D44"/>
    <w:rsid w:val="009D76FB"/>
    <w:rsid w:val="00A07E82"/>
    <w:rsid w:val="00A52075"/>
    <w:rsid w:val="00A9710C"/>
    <w:rsid w:val="00AE3E37"/>
    <w:rsid w:val="00B064AB"/>
    <w:rsid w:val="00B21A57"/>
    <w:rsid w:val="00BB5390"/>
    <w:rsid w:val="00BC3D56"/>
    <w:rsid w:val="00BF5967"/>
    <w:rsid w:val="00C33602"/>
    <w:rsid w:val="00C56C74"/>
    <w:rsid w:val="00CD6F55"/>
    <w:rsid w:val="00DE3104"/>
    <w:rsid w:val="00DE6170"/>
    <w:rsid w:val="00E30AAC"/>
    <w:rsid w:val="00E50FA8"/>
    <w:rsid w:val="00E830DB"/>
    <w:rsid w:val="00E95D97"/>
    <w:rsid w:val="00F046EA"/>
    <w:rsid w:val="00F35FA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A2DD0C"/>
  <w15:docId w15:val="{CB8E744D-BB5A-444D-B141-19E4AF9F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BB5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escobedo@msn.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782</Words>
  <Characters>4306</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MEM</cp:lastModifiedBy>
  <cp:revision>10</cp:revision>
  <dcterms:created xsi:type="dcterms:W3CDTF">2021-06-14T09:15:00Z</dcterms:created>
  <dcterms:modified xsi:type="dcterms:W3CDTF">2021-06-14T11:04:00Z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