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85750" w14:textId="3A36BB59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OPTIMAL MANAGEMENT APPROACH FOR PATENT DUCTUS ARTERIOSUS IN PRETERM INFANTS </w:t>
      </w:r>
    </w:p>
    <w:p w14:paraId="314A768C" w14:textId="77777777" w:rsidR="005A3432" w:rsidRPr="00C158AE" w:rsidRDefault="005A3432" w:rsidP="00C158AE">
      <w:pPr>
        <w:rPr>
          <w:rFonts w:asciiTheme="minorHAnsi" w:hAnsiTheme="minorHAnsi" w:cstheme="majorHAnsi"/>
        </w:rPr>
      </w:pPr>
    </w:p>
    <w:p w14:paraId="10B2B493" w14:textId="77777777" w:rsidR="005A3432" w:rsidRPr="00C158AE" w:rsidRDefault="005A3432" w:rsidP="00C158AE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Fazal-e-Rabi Subhani</w:t>
      </w:r>
    </w:p>
    <w:p w14:paraId="32C62B78" w14:textId="77777777" w:rsidR="005A3432" w:rsidRPr="00C158AE" w:rsidRDefault="005A3432" w:rsidP="00C158AE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The Rotunda Hospital, Parnell Square E, Rotunda, Dublin 1</w:t>
      </w:r>
    </w:p>
    <w:p w14:paraId="777E59AE" w14:textId="77777777" w:rsidR="005A3432" w:rsidRPr="00C158AE" w:rsidRDefault="005A3432" w:rsidP="00C158AE">
      <w:pPr>
        <w:jc w:val="center"/>
        <w:rPr>
          <w:rFonts w:asciiTheme="minorHAnsi" w:hAnsiTheme="minorHAnsi" w:cstheme="majorHAnsi"/>
        </w:rPr>
      </w:pPr>
    </w:p>
    <w:p w14:paraId="4543662A" w14:textId="77777777" w:rsidR="005A3432" w:rsidRPr="00C158AE" w:rsidRDefault="005A3432" w:rsidP="00C158AE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Fazal-i-Akbar Danish</w:t>
      </w:r>
    </w:p>
    <w:p w14:paraId="45B34022" w14:textId="77777777" w:rsidR="005A3432" w:rsidRPr="00C158AE" w:rsidRDefault="005A3432" w:rsidP="00C158AE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Altnagelvin Area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Hospital, Londonderry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BT47 6SB</w:t>
      </w:r>
    </w:p>
    <w:p w14:paraId="08B04141" w14:textId="77777777" w:rsidR="005A3432" w:rsidRPr="00C158AE" w:rsidRDefault="005A3432" w:rsidP="00C158AE"/>
    <w:p w14:paraId="6CC4197A" w14:textId="77777777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Introduction: </w:t>
      </w:r>
    </w:p>
    <w:p w14:paraId="28369947" w14:textId="77777777" w:rsidR="0005679E" w:rsidRPr="00C158AE" w:rsidRDefault="0005679E" w:rsidP="00C158AE">
      <w:pPr>
        <w:rPr>
          <w:rFonts w:asciiTheme="minorHAnsi" w:hAnsiTheme="minorHAnsi" w:cstheme="majorHAnsi"/>
          <w:b/>
        </w:rPr>
      </w:pPr>
    </w:p>
    <w:p w14:paraId="474DD89C" w14:textId="2821C10B" w:rsidR="005A3432" w:rsidRPr="00C158AE" w:rsidRDefault="0005679E" w:rsidP="00C158AE">
      <w:pPr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</w:rPr>
        <w:t xml:space="preserve">Hemodynamically significant patent ductus arteriosus (PDA) in preterm infants </w:t>
      </w:r>
      <w:r w:rsidR="00314838" w:rsidRPr="00C158AE">
        <w:rPr>
          <w:rFonts w:asciiTheme="minorHAnsi" w:hAnsiTheme="minorHAnsi" w:cstheme="majorHAnsi"/>
        </w:rPr>
        <w:t xml:space="preserve">is known to be associated with greater mortality and substantial morbidity in the form of pulmonary oedema/haemorrhage, bronchopulmonary dysplasia (BPD) and potential end-organ ischaemic injury. </w:t>
      </w:r>
      <w:r w:rsidR="00CB4A7C" w:rsidRPr="00C158AE">
        <w:rPr>
          <w:rFonts w:asciiTheme="minorHAnsi" w:hAnsiTheme="minorHAnsi" w:cstheme="majorHAnsi"/>
        </w:rPr>
        <w:t>Considerable</w:t>
      </w:r>
      <w:r w:rsidR="00875BD4" w:rsidRPr="00C158AE">
        <w:rPr>
          <w:rFonts w:asciiTheme="minorHAnsi" w:hAnsiTheme="minorHAnsi" w:cstheme="majorHAnsi"/>
        </w:rPr>
        <w:t xml:space="preserve"> practice variability exists regarding </w:t>
      </w:r>
      <w:r w:rsidR="00134BA7" w:rsidRPr="00C158AE">
        <w:rPr>
          <w:rFonts w:asciiTheme="minorHAnsi" w:hAnsiTheme="minorHAnsi" w:cstheme="majorHAnsi"/>
        </w:rPr>
        <w:t xml:space="preserve">different PDA </w:t>
      </w:r>
      <w:r w:rsidR="00875BD4" w:rsidRPr="00C158AE">
        <w:rPr>
          <w:rFonts w:asciiTheme="minorHAnsi" w:hAnsiTheme="minorHAnsi" w:cstheme="majorHAnsi"/>
        </w:rPr>
        <w:t xml:space="preserve">management approaches </w:t>
      </w:r>
      <w:r w:rsidR="00134BA7" w:rsidRPr="00C158AE">
        <w:rPr>
          <w:rFonts w:asciiTheme="minorHAnsi" w:hAnsiTheme="minorHAnsi" w:cstheme="majorHAnsi"/>
        </w:rPr>
        <w:t xml:space="preserve">from supportive care alone to pharmacological closure to surgical ligation. </w:t>
      </w:r>
    </w:p>
    <w:p w14:paraId="73BBF450" w14:textId="77777777" w:rsidR="0005679E" w:rsidRPr="00C158AE" w:rsidRDefault="0005679E" w:rsidP="00C158AE">
      <w:pPr>
        <w:rPr>
          <w:rFonts w:asciiTheme="minorHAnsi" w:hAnsiTheme="minorHAnsi" w:cstheme="majorHAnsi"/>
          <w:b/>
          <w:color w:val="1F3864" w:themeColor="accent1" w:themeShade="80"/>
        </w:rPr>
      </w:pPr>
    </w:p>
    <w:p w14:paraId="107BC459" w14:textId="51A2F5C9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Method:</w:t>
      </w:r>
    </w:p>
    <w:p w14:paraId="77283E7B" w14:textId="77777777" w:rsidR="005A3432" w:rsidRPr="00C158AE" w:rsidRDefault="005A3432" w:rsidP="00C158AE">
      <w:pPr>
        <w:rPr>
          <w:rFonts w:asciiTheme="minorHAnsi" w:hAnsiTheme="minorHAnsi" w:cstheme="majorHAnsi"/>
          <w:b/>
        </w:rPr>
      </w:pPr>
    </w:p>
    <w:p w14:paraId="5DF1DEB5" w14:textId="2C959082" w:rsidR="005A3432" w:rsidRPr="00C158AE" w:rsidRDefault="005A3432" w:rsidP="00C158AE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</w:rPr>
        <w:t xml:space="preserve">A comprehensive search of PubMed &amp; EMBASE from their inceptions to October 2019 was made using 3 search items: </w:t>
      </w:r>
      <w:r w:rsidR="000B7052" w:rsidRPr="00C158AE">
        <w:rPr>
          <w:rFonts w:asciiTheme="minorHAnsi" w:hAnsiTheme="minorHAnsi" w:cstheme="majorHAnsi"/>
        </w:rPr>
        <w:t>patent ductus arteriosus</w:t>
      </w:r>
      <w:r w:rsidRPr="00C158AE">
        <w:rPr>
          <w:rFonts w:asciiTheme="minorHAnsi" w:hAnsiTheme="minorHAnsi" w:cstheme="majorHAnsi"/>
        </w:rPr>
        <w:t xml:space="preserve">, </w:t>
      </w:r>
      <w:r w:rsidR="000B7052" w:rsidRPr="00C158AE">
        <w:rPr>
          <w:rFonts w:asciiTheme="minorHAnsi" w:hAnsiTheme="minorHAnsi" w:cstheme="majorHAnsi"/>
        </w:rPr>
        <w:t>preterm infants</w:t>
      </w:r>
      <w:r w:rsidRPr="00C158AE">
        <w:rPr>
          <w:rFonts w:asciiTheme="minorHAnsi" w:hAnsiTheme="minorHAnsi" w:cstheme="majorHAnsi"/>
        </w:rPr>
        <w:t xml:space="preserve">, &amp; </w:t>
      </w:r>
      <w:r w:rsidR="000B7052" w:rsidRPr="00C158AE">
        <w:rPr>
          <w:rFonts w:asciiTheme="minorHAnsi" w:hAnsiTheme="minorHAnsi" w:cstheme="majorHAnsi"/>
        </w:rPr>
        <w:t>management approaches</w:t>
      </w:r>
      <w:r w:rsidRPr="00C158AE">
        <w:rPr>
          <w:rFonts w:asciiTheme="minorHAnsi" w:hAnsiTheme="minorHAnsi" w:cstheme="majorHAnsi"/>
        </w:rPr>
        <w:t>. The search items were combined using the Boolean operator. A further search was made of the Cochrane Central Register of Controlled Trials, &amp; ClinicalTrials.gov with no language restriction.</w:t>
      </w:r>
    </w:p>
    <w:p w14:paraId="22F9A07F" w14:textId="77777777" w:rsidR="005A3432" w:rsidRPr="00C158AE" w:rsidRDefault="005A3432" w:rsidP="00C158AE">
      <w:pPr>
        <w:rPr>
          <w:rFonts w:asciiTheme="minorHAnsi" w:hAnsiTheme="minorHAnsi" w:cstheme="majorHAnsi"/>
          <w:b/>
        </w:rPr>
      </w:pPr>
    </w:p>
    <w:p w14:paraId="5D8EDA56" w14:textId="77777777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Results:</w:t>
      </w:r>
    </w:p>
    <w:p w14:paraId="2F8DDA10" w14:textId="77777777" w:rsidR="00AA487D" w:rsidRPr="00C158AE" w:rsidRDefault="00AA487D" w:rsidP="00C158AE">
      <w:pPr>
        <w:rPr>
          <w:rFonts w:asciiTheme="minorHAnsi" w:hAnsiTheme="minorHAnsi" w:cstheme="majorHAnsi"/>
        </w:rPr>
      </w:pPr>
    </w:p>
    <w:p w14:paraId="6BDFDA38" w14:textId="03E47FBB" w:rsidR="005A3432" w:rsidRPr="00C158AE" w:rsidRDefault="000B7052" w:rsidP="00C158AE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</w:rPr>
        <w:t xml:space="preserve">Literature review suggests </w:t>
      </w:r>
      <w:r w:rsidR="00887386" w:rsidRPr="00C158AE">
        <w:rPr>
          <w:rFonts w:asciiTheme="minorHAnsi" w:hAnsiTheme="minorHAnsi" w:cstheme="majorHAnsi"/>
        </w:rPr>
        <w:t xml:space="preserve">that the most appropriate </w:t>
      </w:r>
      <w:r w:rsidRPr="00C158AE">
        <w:rPr>
          <w:rFonts w:asciiTheme="minorHAnsi" w:hAnsiTheme="minorHAnsi" w:cstheme="majorHAnsi"/>
        </w:rPr>
        <w:t xml:space="preserve">management approach </w:t>
      </w:r>
      <w:r w:rsidR="00887386" w:rsidRPr="00C158AE">
        <w:rPr>
          <w:rFonts w:asciiTheme="minorHAnsi" w:hAnsiTheme="minorHAnsi" w:cstheme="majorHAnsi"/>
        </w:rPr>
        <w:t>is a step-wise strategy</w:t>
      </w:r>
      <w:r w:rsidRPr="00C158AE">
        <w:rPr>
          <w:rFonts w:asciiTheme="minorHAnsi" w:hAnsiTheme="minorHAnsi" w:cstheme="majorHAnsi"/>
        </w:rPr>
        <w:t xml:space="preserve"> </w:t>
      </w:r>
      <w:r w:rsidR="00887386" w:rsidRPr="00C158AE">
        <w:rPr>
          <w:rFonts w:asciiTheme="minorHAnsi" w:hAnsiTheme="minorHAnsi" w:cstheme="majorHAnsi"/>
        </w:rPr>
        <w:t xml:space="preserve">beginning with supportive care </w:t>
      </w:r>
      <w:r w:rsidR="007623C4" w:rsidRPr="00C158AE">
        <w:rPr>
          <w:rFonts w:asciiTheme="minorHAnsi" w:hAnsiTheme="minorHAnsi" w:cstheme="majorHAnsi"/>
        </w:rPr>
        <w:t xml:space="preserve">provided </w:t>
      </w:r>
      <w:r w:rsidR="00D82E4F" w:rsidRPr="00C158AE">
        <w:rPr>
          <w:rFonts w:asciiTheme="minorHAnsi" w:hAnsiTheme="minorHAnsi" w:cstheme="majorHAnsi"/>
        </w:rPr>
        <w:t xml:space="preserve">to all preterm infants </w:t>
      </w:r>
      <w:r w:rsidR="00E81A35" w:rsidRPr="00C158AE">
        <w:rPr>
          <w:rFonts w:asciiTheme="minorHAnsi" w:hAnsiTheme="minorHAnsi" w:cstheme="majorHAnsi"/>
        </w:rPr>
        <w:t>including</w:t>
      </w:r>
      <w:r w:rsidR="00D82E4F" w:rsidRPr="00C158AE">
        <w:rPr>
          <w:rFonts w:asciiTheme="minorHAnsi" w:hAnsiTheme="minorHAnsi" w:cstheme="majorHAnsi"/>
        </w:rPr>
        <w:t xml:space="preserve"> a neutral thermal environment, </w:t>
      </w:r>
      <w:r w:rsidR="00DC16DD" w:rsidRPr="00C158AE">
        <w:rPr>
          <w:rFonts w:asciiTheme="minorHAnsi" w:hAnsiTheme="minorHAnsi" w:cstheme="majorHAnsi"/>
        </w:rPr>
        <w:t xml:space="preserve">moderate </w:t>
      </w:r>
      <w:r w:rsidR="00D82E4F" w:rsidRPr="00C158AE">
        <w:rPr>
          <w:rFonts w:asciiTheme="minorHAnsi" w:hAnsiTheme="minorHAnsi" w:cstheme="majorHAnsi"/>
        </w:rPr>
        <w:t xml:space="preserve">fluid restriction (110-130 mL/kg/day) &amp; </w:t>
      </w:r>
      <w:r w:rsidR="00751D25" w:rsidRPr="00C158AE">
        <w:rPr>
          <w:rFonts w:asciiTheme="minorHAnsi" w:hAnsiTheme="minorHAnsi" w:cstheme="majorHAnsi"/>
        </w:rPr>
        <w:t xml:space="preserve">adequate </w:t>
      </w:r>
      <w:r w:rsidR="00D82E4F" w:rsidRPr="00C158AE">
        <w:rPr>
          <w:rFonts w:asciiTheme="minorHAnsi" w:hAnsiTheme="minorHAnsi" w:cstheme="majorHAnsi"/>
        </w:rPr>
        <w:t>respiratory support (target SpO</w:t>
      </w:r>
      <w:r w:rsidR="00D82E4F" w:rsidRPr="00C158AE">
        <w:rPr>
          <w:rFonts w:asciiTheme="minorHAnsi" w:hAnsiTheme="minorHAnsi" w:cstheme="majorHAnsi"/>
          <w:vertAlign w:val="subscript"/>
        </w:rPr>
        <w:t>2</w:t>
      </w:r>
      <w:r w:rsidR="00D82E4F" w:rsidRPr="00C158AE">
        <w:rPr>
          <w:rFonts w:asciiTheme="minorHAnsi" w:hAnsiTheme="minorHAnsi" w:cstheme="majorHAnsi"/>
        </w:rPr>
        <w:t xml:space="preserve"> 90-95%, PaCO</w:t>
      </w:r>
      <w:r w:rsidR="00D82E4F" w:rsidRPr="00C158AE">
        <w:rPr>
          <w:rFonts w:asciiTheme="minorHAnsi" w:hAnsiTheme="minorHAnsi" w:cstheme="majorHAnsi"/>
          <w:vertAlign w:val="subscript"/>
        </w:rPr>
        <w:t>2</w:t>
      </w:r>
      <w:r w:rsidR="00D82E4F" w:rsidRPr="00C158AE">
        <w:rPr>
          <w:rFonts w:asciiTheme="minorHAnsi" w:hAnsiTheme="minorHAnsi" w:cstheme="majorHAnsi"/>
        </w:rPr>
        <w:t xml:space="preserve"> 55-65 mmHg, </w:t>
      </w:r>
      <w:r w:rsidR="0093106E" w:rsidRPr="00C158AE">
        <w:rPr>
          <w:rFonts w:asciiTheme="minorHAnsi" w:hAnsiTheme="minorHAnsi" w:cstheme="majorHAnsi"/>
        </w:rPr>
        <w:t xml:space="preserve">pH </w:t>
      </w:r>
      <w:r w:rsidR="00944859" w:rsidRPr="00C158AE">
        <w:rPr>
          <w:rFonts w:asciiTheme="minorHAnsi" w:hAnsiTheme="minorHAnsi" w:cstheme="majorHAnsi"/>
        </w:rPr>
        <w:t xml:space="preserve">7.3-7.4, &amp; haematocrit above 35%). </w:t>
      </w:r>
      <w:r w:rsidR="0050077D" w:rsidRPr="00C158AE">
        <w:rPr>
          <w:rFonts w:asciiTheme="minorHAnsi" w:hAnsiTheme="minorHAnsi" w:cstheme="majorHAnsi"/>
        </w:rPr>
        <w:t>The next step is pharmacological closure</w:t>
      </w:r>
      <w:r w:rsidR="003B1117" w:rsidRPr="00C158AE">
        <w:rPr>
          <w:rFonts w:asciiTheme="minorHAnsi" w:hAnsiTheme="minorHAnsi" w:cstheme="majorHAnsi"/>
        </w:rPr>
        <w:t xml:space="preserve"> </w:t>
      </w:r>
      <w:r w:rsidR="006251B4" w:rsidRPr="00C158AE">
        <w:rPr>
          <w:rFonts w:asciiTheme="minorHAnsi" w:hAnsiTheme="minorHAnsi" w:cstheme="majorHAnsi"/>
        </w:rPr>
        <w:t xml:space="preserve">attempted </w:t>
      </w:r>
      <w:r w:rsidR="0050077D" w:rsidRPr="00C158AE">
        <w:rPr>
          <w:rFonts w:asciiTheme="minorHAnsi" w:hAnsiTheme="minorHAnsi" w:cstheme="majorHAnsi"/>
        </w:rPr>
        <w:t xml:space="preserve">in infants who remain </w:t>
      </w:r>
      <w:r w:rsidR="00857B60" w:rsidRPr="00C158AE">
        <w:rPr>
          <w:rFonts w:asciiTheme="minorHAnsi" w:hAnsiTheme="minorHAnsi" w:cstheme="majorHAnsi"/>
        </w:rPr>
        <w:t xml:space="preserve">ventilator-dependent </w:t>
      </w:r>
      <w:r w:rsidR="0050077D" w:rsidRPr="00C158AE">
        <w:rPr>
          <w:rFonts w:asciiTheme="minorHAnsi" w:hAnsiTheme="minorHAnsi" w:cstheme="majorHAnsi"/>
        </w:rPr>
        <w:t xml:space="preserve">after one week. </w:t>
      </w:r>
      <w:r w:rsidR="009B2644" w:rsidRPr="00C158AE">
        <w:rPr>
          <w:rFonts w:asciiTheme="minorHAnsi" w:hAnsiTheme="minorHAnsi" w:cstheme="majorHAnsi"/>
        </w:rPr>
        <w:t xml:space="preserve">It is done in the form </w:t>
      </w:r>
      <w:r w:rsidR="009B2644" w:rsidRPr="00C158AE">
        <w:rPr>
          <w:rFonts w:asciiTheme="minorHAnsi" w:hAnsiTheme="minorHAnsi" w:cstheme="majorHAnsi"/>
        </w:rPr>
        <w:t xml:space="preserve">a course of </w:t>
      </w:r>
      <w:r w:rsidR="00D02AD5" w:rsidRPr="00C158AE">
        <w:rPr>
          <w:rFonts w:asciiTheme="minorHAnsi" w:hAnsiTheme="minorHAnsi" w:cstheme="majorHAnsi"/>
        </w:rPr>
        <w:t xml:space="preserve">non-selective </w:t>
      </w:r>
      <w:r w:rsidR="009B2644" w:rsidRPr="00C158AE">
        <w:rPr>
          <w:rFonts w:asciiTheme="minorHAnsi" w:hAnsiTheme="minorHAnsi" w:cstheme="majorHAnsi"/>
        </w:rPr>
        <w:t>COX inhibitors</w:t>
      </w:r>
      <w:r w:rsidR="009B2644" w:rsidRPr="00C158AE">
        <w:rPr>
          <w:rFonts w:asciiTheme="minorHAnsi" w:hAnsiTheme="minorHAnsi" w:cstheme="majorHAnsi"/>
        </w:rPr>
        <w:t xml:space="preserve"> </w:t>
      </w:r>
      <w:r w:rsidR="0048423B" w:rsidRPr="00C158AE">
        <w:rPr>
          <w:rFonts w:asciiTheme="minorHAnsi" w:hAnsiTheme="minorHAnsi" w:cstheme="majorHAnsi"/>
        </w:rPr>
        <w:t xml:space="preserve">therapy </w:t>
      </w:r>
      <w:r w:rsidR="00D02AD5" w:rsidRPr="00C158AE">
        <w:rPr>
          <w:rFonts w:asciiTheme="minorHAnsi" w:hAnsiTheme="minorHAnsi" w:cstheme="majorHAnsi"/>
        </w:rPr>
        <w:t>(</w:t>
      </w:r>
      <w:r w:rsidR="009B2644" w:rsidRPr="00C158AE">
        <w:rPr>
          <w:rFonts w:asciiTheme="minorHAnsi" w:hAnsiTheme="minorHAnsi" w:cstheme="majorHAnsi"/>
        </w:rPr>
        <w:t>indomethacin, ibuprofen</w:t>
      </w:r>
      <w:r w:rsidR="00D02AD5" w:rsidRPr="00C158AE">
        <w:rPr>
          <w:rFonts w:asciiTheme="minorHAnsi" w:hAnsiTheme="minorHAnsi" w:cstheme="majorHAnsi"/>
        </w:rPr>
        <w:t>)</w:t>
      </w:r>
      <w:r w:rsidR="009B2644" w:rsidRPr="00C158AE">
        <w:rPr>
          <w:rFonts w:asciiTheme="minorHAnsi" w:hAnsiTheme="minorHAnsi" w:cstheme="majorHAnsi"/>
        </w:rPr>
        <w:t xml:space="preserve">, </w:t>
      </w:r>
      <w:r w:rsidR="003C385E" w:rsidRPr="00C158AE">
        <w:rPr>
          <w:rFonts w:asciiTheme="minorHAnsi" w:hAnsiTheme="minorHAnsi" w:cstheme="majorHAnsi"/>
        </w:rPr>
        <w:t>or</w:t>
      </w:r>
      <w:r w:rsidR="009B2644" w:rsidRPr="00C158AE">
        <w:rPr>
          <w:rFonts w:asciiTheme="minorHAnsi" w:hAnsiTheme="minorHAnsi" w:cstheme="majorHAnsi"/>
        </w:rPr>
        <w:t xml:space="preserve"> paracetamol</w:t>
      </w:r>
      <w:r w:rsidR="00CD698A" w:rsidRPr="00C158AE">
        <w:rPr>
          <w:rFonts w:asciiTheme="minorHAnsi" w:hAnsiTheme="minorHAnsi" w:cstheme="majorHAnsi"/>
        </w:rPr>
        <w:t xml:space="preserve">. Latter is generally </w:t>
      </w:r>
      <w:r w:rsidR="006021BD" w:rsidRPr="00C158AE">
        <w:rPr>
          <w:rFonts w:asciiTheme="minorHAnsi" w:hAnsiTheme="minorHAnsi" w:cstheme="majorHAnsi"/>
        </w:rPr>
        <w:t>considered</w:t>
      </w:r>
      <w:r w:rsidR="003C385E" w:rsidRPr="00C158AE">
        <w:rPr>
          <w:rFonts w:asciiTheme="minorHAnsi" w:hAnsiTheme="minorHAnsi" w:cstheme="majorHAnsi"/>
        </w:rPr>
        <w:t xml:space="preserve"> if COX inhibitor therapy is </w:t>
      </w:r>
      <w:r w:rsidR="004213F8">
        <w:rPr>
          <w:rFonts w:asciiTheme="minorHAnsi" w:hAnsiTheme="minorHAnsi" w:cstheme="majorHAnsi"/>
        </w:rPr>
        <w:t xml:space="preserve">considered </w:t>
      </w:r>
      <w:r w:rsidR="003C385E" w:rsidRPr="00C158AE">
        <w:rPr>
          <w:rFonts w:asciiTheme="minorHAnsi" w:hAnsiTheme="minorHAnsi" w:cstheme="majorHAnsi"/>
        </w:rPr>
        <w:t>contraindicated</w:t>
      </w:r>
      <w:r w:rsidR="00CD698A" w:rsidRPr="00C158AE">
        <w:rPr>
          <w:rFonts w:asciiTheme="minorHAnsi" w:hAnsiTheme="minorHAnsi" w:cstheme="majorHAnsi"/>
        </w:rPr>
        <w:t xml:space="preserve"> (untreated infection, NEC, active bleeding, thrombocytopenia, significant renal impairment, concomitant congenital heart disease like pulmonary atresia</w:t>
      </w:r>
      <w:r w:rsidR="00CB27BC" w:rsidRPr="00C158AE">
        <w:rPr>
          <w:rFonts w:asciiTheme="minorHAnsi" w:hAnsiTheme="minorHAnsi" w:cstheme="majorHAnsi"/>
        </w:rPr>
        <w:t>, severe tetralogy of Fallot, severe coarctation of aorta</w:t>
      </w:r>
      <w:r w:rsidR="00CD698A" w:rsidRPr="00C158AE">
        <w:rPr>
          <w:rFonts w:asciiTheme="minorHAnsi" w:hAnsiTheme="minorHAnsi" w:cstheme="majorHAnsi"/>
        </w:rPr>
        <w:t xml:space="preserve">). </w:t>
      </w:r>
      <w:r w:rsidR="001F6FA9" w:rsidRPr="00C158AE">
        <w:rPr>
          <w:rFonts w:asciiTheme="minorHAnsi" w:hAnsiTheme="minorHAnsi" w:cstheme="majorHAnsi"/>
        </w:rPr>
        <w:t xml:space="preserve">An echocardiogram is performed 1-2 days after completion of </w:t>
      </w:r>
      <w:r w:rsidR="0005730E">
        <w:rPr>
          <w:rFonts w:asciiTheme="minorHAnsi" w:hAnsiTheme="minorHAnsi" w:cstheme="majorHAnsi"/>
        </w:rPr>
        <w:t>drug</w:t>
      </w:r>
      <w:r w:rsidR="001F6FA9" w:rsidRPr="00C158AE">
        <w:rPr>
          <w:rFonts w:asciiTheme="minorHAnsi" w:hAnsiTheme="minorHAnsi" w:cstheme="majorHAnsi"/>
        </w:rPr>
        <w:t xml:space="preserve"> course. If it shows PDA closure, a positive response to therapy is confirmed. </w:t>
      </w:r>
      <w:r w:rsidR="00926E38" w:rsidRPr="00C158AE">
        <w:rPr>
          <w:rFonts w:asciiTheme="minorHAnsi" w:hAnsiTheme="minorHAnsi" w:cstheme="majorHAnsi"/>
        </w:rPr>
        <w:t>Unfortunately</w:t>
      </w:r>
      <w:r w:rsidR="00CC1EB8" w:rsidRPr="00C158AE">
        <w:rPr>
          <w:rFonts w:asciiTheme="minorHAnsi" w:hAnsiTheme="minorHAnsi" w:cstheme="majorHAnsi"/>
        </w:rPr>
        <w:t>,</w:t>
      </w:r>
      <w:r w:rsidR="00926E38" w:rsidRPr="00C158AE">
        <w:rPr>
          <w:rFonts w:asciiTheme="minorHAnsi" w:hAnsiTheme="minorHAnsi" w:cstheme="majorHAnsi"/>
        </w:rPr>
        <w:t xml:space="preserve"> a significant proportion of infants fail to respond to </w:t>
      </w:r>
      <w:r w:rsidR="00CC1EB8" w:rsidRPr="00C158AE">
        <w:rPr>
          <w:rFonts w:asciiTheme="minorHAnsi" w:hAnsiTheme="minorHAnsi" w:cstheme="majorHAnsi"/>
        </w:rPr>
        <w:t xml:space="preserve">the initial course </w:t>
      </w:r>
      <w:r w:rsidR="00CD68E1" w:rsidRPr="00C158AE">
        <w:rPr>
          <w:rFonts w:asciiTheme="minorHAnsi" w:hAnsiTheme="minorHAnsi" w:cstheme="majorHAnsi"/>
        </w:rPr>
        <w:t xml:space="preserve">as evidenced by visualization of </w:t>
      </w:r>
      <w:r w:rsidR="00CD68E1" w:rsidRPr="00C158AE">
        <w:rPr>
          <w:rFonts w:asciiTheme="minorHAnsi" w:hAnsiTheme="minorHAnsi" w:cstheme="majorHAnsi"/>
        </w:rPr>
        <w:t>persistent PDA</w:t>
      </w:r>
      <w:r w:rsidR="00CD68E1" w:rsidRPr="00C158AE">
        <w:rPr>
          <w:rFonts w:asciiTheme="minorHAnsi" w:hAnsiTheme="minorHAnsi" w:cstheme="majorHAnsi"/>
        </w:rPr>
        <w:t xml:space="preserve"> on </w:t>
      </w:r>
      <w:r w:rsidR="00CC1EB8" w:rsidRPr="00C158AE">
        <w:rPr>
          <w:rFonts w:asciiTheme="minorHAnsi" w:hAnsiTheme="minorHAnsi" w:cstheme="majorHAnsi"/>
        </w:rPr>
        <w:t xml:space="preserve">follow-up echocardiogram </w:t>
      </w:r>
      <w:r w:rsidR="00857B60" w:rsidRPr="00C158AE">
        <w:rPr>
          <w:rFonts w:asciiTheme="minorHAnsi" w:hAnsiTheme="minorHAnsi" w:cstheme="majorHAnsi"/>
        </w:rPr>
        <w:t>&amp; infant</w:t>
      </w:r>
      <w:r w:rsidR="00375056" w:rsidRPr="00C158AE">
        <w:rPr>
          <w:rFonts w:asciiTheme="minorHAnsi" w:hAnsiTheme="minorHAnsi" w:cstheme="majorHAnsi"/>
        </w:rPr>
        <w:t>s</w:t>
      </w:r>
      <w:r w:rsidR="00857B60" w:rsidRPr="00C158AE">
        <w:rPr>
          <w:rFonts w:asciiTheme="minorHAnsi" w:hAnsiTheme="minorHAnsi" w:cstheme="majorHAnsi"/>
        </w:rPr>
        <w:t xml:space="preserve"> remain</w:t>
      </w:r>
      <w:r w:rsidR="00CD68E1" w:rsidRPr="00C158AE">
        <w:rPr>
          <w:rFonts w:asciiTheme="minorHAnsi" w:hAnsiTheme="minorHAnsi" w:cstheme="majorHAnsi"/>
        </w:rPr>
        <w:t>ing</w:t>
      </w:r>
      <w:r w:rsidR="00857B60" w:rsidRPr="00C158AE">
        <w:rPr>
          <w:rFonts w:asciiTheme="minorHAnsi" w:hAnsiTheme="minorHAnsi" w:cstheme="majorHAnsi"/>
        </w:rPr>
        <w:t xml:space="preserve"> ventilator-dependent</w:t>
      </w:r>
      <w:r w:rsidR="00CD68E1" w:rsidRPr="00C158AE">
        <w:rPr>
          <w:rFonts w:asciiTheme="minorHAnsi" w:hAnsiTheme="minorHAnsi" w:cstheme="majorHAnsi"/>
        </w:rPr>
        <w:t xml:space="preserve">. Limited date suggests that </w:t>
      </w:r>
      <w:r w:rsidR="00857B60" w:rsidRPr="00C158AE">
        <w:rPr>
          <w:rFonts w:asciiTheme="minorHAnsi" w:hAnsiTheme="minorHAnsi" w:cstheme="majorHAnsi"/>
        </w:rPr>
        <w:t xml:space="preserve">a second course of COX inhibitor is </w:t>
      </w:r>
      <w:r w:rsidR="00CD68E1" w:rsidRPr="00C158AE">
        <w:rPr>
          <w:rFonts w:asciiTheme="minorHAnsi" w:hAnsiTheme="minorHAnsi" w:cstheme="majorHAnsi"/>
        </w:rPr>
        <w:t xml:space="preserve">associated with 40% rate of ductal closure </w:t>
      </w:r>
      <w:r w:rsidR="00932DFF" w:rsidRPr="00C158AE">
        <w:rPr>
          <w:rFonts w:asciiTheme="minorHAnsi" w:hAnsiTheme="minorHAnsi" w:cstheme="majorHAnsi"/>
        </w:rPr>
        <w:t>in such instances</w:t>
      </w:r>
      <w:r w:rsidR="00857B60" w:rsidRPr="00C158AE">
        <w:rPr>
          <w:rFonts w:asciiTheme="minorHAnsi" w:hAnsiTheme="minorHAnsi" w:cstheme="majorHAnsi"/>
        </w:rPr>
        <w:t xml:space="preserve">. </w:t>
      </w:r>
      <w:r w:rsidR="006139DC" w:rsidRPr="00C158AE">
        <w:rPr>
          <w:rFonts w:asciiTheme="minorHAnsi" w:hAnsiTheme="minorHAnsi" w:cstheme="majorHAnsi"/>
        </w:rPr>
        <w:t>I</w:t>
      </w:r>
      <w:r w:rsidR="00B965BA" w:rsidRPr="00C158AE">
        <w:rPr>
          <w:rFonts w:asciiTheme="minorHAnsi" w:hAnsiTheme="minorHAnsi" w:cstheme="majorHAnsi"/>
        </w:rPr>
        <w:t>nfant</w:t>
      </w:r>
      <w:r w:rsidR="005446D1">
        <w:rPr>
          <w:rFonts w:asciiTheme="minorHAnsi" w:hAnsiTheme="minorHAnsi" w:cstheme="majorHAnsi"/>
        </w:rPr>
        <w:t>s</w:t>
      </w:r>
      <w:bookmarkStart w:id="0" w:name="_GoBack"/>
      <w:bookmarkEnd w:id="0"/>
      <w:r w:rsidR="00B965BA" w:rsidRPr="00C158AE">
        <w:rPr>
          <w:rFonts w:asciiTheme="minorHAnsi" w:hAnsiTheme="minorHAnsi" w:cstheme="majorHAnsi"/>
        </w:rPr>
        <w:t xml:space="preserve"> </w:t>
      </w:r>
      <w:r w:rsidR="006139DC" w:rsidRPr="00C158AE">
        <w:rPr>
          <w:rFonts w:asciiTheme="minorHAnsi" w:hAnsiTheme="minorHAnsi" w:cstheme="majorHAnsi"/>
        </w:rPr>
        <w:t>who f</w:t>
      </w:r>
      <w:r w:rsidR="00902F97" w:rsidRPr="00C158AE">
        <w:rPr>
          <w:rFonts w:asciiTheme="minorHAnsi" w:hAnsiTheme="minorHAnsi" w:cstheme="majorHAnsi"/>
        </w:rPr>
        <w:t>ail</w:t>
      </w:r>
      <w:r w:rsidR="006139DC" w:rsidRPr="00C158AE">
        <w:rPr>
          <w:rFonts w:asciiTheme="minorHAnsi" w:hAnsiTheme="minorHAnsi" w:cstheme="majorHAnsi"/>
        </w:rPr>
        <w:t xml:space="preserve"> </w:t>
      </w:r>
      <w:r w:rsidR="00B965BA" w:rsidRPr="00C158AE">
        <w:rPr>
          <w:rFonts w:asciiTheme="minorHAnsi" w:hAnsiTheme="minorHAnsi" w:cstheme="majorHAnsi"/>
        </w:rPr>
        <w:t xml:space="preserve">to respond to </w:t>
      </w:r>
      <w:r w:rsidR="00902F97" w:rsidRPr="00C158AE">
        <w:rPr>
          <w:rFonts w:asciiTheme="minorHAnsi" w:hAnsiTheme="minorHAnsi" w:cstheme="majorHAnsi"/>
        </w:rPr>
        <w:t xml:space="preserve">even </w:t>
      </w:r>
      <w:r w:rsidR="00B965BA" w:rsidRPr="00C158AE">
        <w:rPr>
          <w:rFonts w:asciiTheme="minorHAnsi" w:hAnsiTheme="minorHAnsi" w:cstheme="majorHAnsi"/>
        </w:rPr>
        <w:t>the second course &amp; remain ventilator-dependent on maximum settings</w:t>
      </w:r>
      <w:r w:rsidR="006139DC" w:rsidRPr="00C158AE">
        <w:rPr>
          <w:rFonts w:asciiTheme="minorHAnsi" w:hAnsiTheme="minorHAnsi" w:cstheme="majorHAnsi"/>
        </w:rPr>
        <w:t xml:space="preserve"> </w:t>
      </w:r>
      <w:r w:rsidR="00CC1EB8" w:rsidRPr="00C158AE">
        <w:rPr>
          <w:rFonts w:asciiTheme="minorHAnsi" w:hAnsiTheme="minorHAnsi" w:cstheme="majorHAnsi"/>
        </w:rPr>
        <w:t>are unlikely to respond to drug treatment</w:t>
      </w:r>
      <w:r w:rsidR="00796E69" w:rsidRPr="00C158AE">
        <w:rPr>
          <w:rFonts w:asciiTheme="minorHAnsi" w:hAnsiTheme="minorHAnsi" w:cstheme="majorHAnsi"/>
        </w:rPr>
        <w:t xml:space="preserve"> &amp; therefore no further medical therapy is considered appropriate</w:t>
      </w:r>
      <w:r w:rsidR="00930180" w:rsidRPr="00C158AE">
        <w:rPr>
          <w:rFonts w:asciiTheme="minorHAnsi" w:hAnsiTheme="minorHAnsi" w:cstheme="majorHAnsi"/>
        </w:rPr>
        <w:t xml:space="preserve"> in s</w:t>
      </w:r>
      <w:r w:rsidR="00CC1EB8" w:rsidRPr="00C158AE">
        <w:rPr>
          <w:rFonts w:asciiTheme="minorHAnsi" w:hAnsiTheme="minorHAnsi" w:cstheme="majorHAnsi"/>
        </w:rPr>
        <w:t xml:space="preserve">uch </w:t>
      </w:r>
      <w:r w:rsidR="00E232CF" w:rsidRPr="00C158AE">
        <w:rPr>
          <w:rFonts w:asciiTheme="minorHAnsi" w:hAnsiTheme="minorHAnsi" w:cstheme="majorHAnsi"/>
        </w:rPr>
        <w:t>instances</w:t>
      </w:r>
      <w:r w:rsidR="00930180" w:rsidRPr="00C158AE">
        <w:rPr>
          <w:rFonts w:asciiTheme="minorHAnsi" w:hAnsiTheme="minorHAnsi" w:cstheme="majorHAnsi"/>
        </w:rPr>
        <w:t>. A</w:t>
      </w:r>
      <w:r w:rsidR="00930180" w:rsidRPr="00C158AE">
        <w:rPr>
          <w:rFonts w:asciiTheme="minorHAnsi" w:hAnsiTheme="minorHAnsi" w:cstheme="majorHAnsi"/>
        </w:rPr>
        <w:t>lthough</w:t>
      </w:r>
      <w:r w:rsidR="00930180" w:rsidRPr="00C158AE">
        <w:rPr>
          <w:rFonts w:asciiTheme="minorHAnsi" w:hAnsiTheme="minorHAnsi" w:cstheme="majorHAnsi"/>
        </w:rPr>
        <w:t xml:space="preserve"> </w:t>
      </w:r>
      <w:r w:rsidR="00930180" w:rsidRPr="00C158AE">
        <w:rPr>
          <w:rFonts w:asciiTheme="minorHAnsi" w:hAnsiTheme="minorHAnsi" w:cstheme="majorHAnsi"/>
        </w:rPr>
        <w:t>rarely necessary</w:t>
      </w:r>
      <w:r w:rsidR="00930180" w:rsidRPr="00C158AE">
        <w:rPr>
          <w:rFonts w:asciiTheme="minorHAnsi" w:hAnsiTheme="minorHAnsi" w:cstheme="majorHAnsi"/>
        </w:rPr>
        <w:t xml:space="preserve"> </w:t>
      </w:r>
      <w:r w:rsidR="00930180" w:rsidRPr="00C158AE">
        <w:rPr>
          <w:rFonts w:asciiTheme="minorHAnsi" w:hAnsiTheme="minorHAnsi" w:cstheme="majorHAnsi"/>
        </w:rPr>
        <w:t>in real life</w:t>
      </w:r>
      <w:r w:rsidR="00930180" w:rsidRPr="00C158AE">
        <w:rPr>
          <w:rFonts w:asciiTheme="minorHAnsi" w:hAnsiTheme="minorHAnsi" w:cstheme="majorHAnsi"/>
        </w:rPr>
        <w:t xml:space="preserve">, </w:t>
      </w:r>
      <w:r w:rsidR="00B965BA" w:rsidRPr="00C158AE">
        <w:rPr>
          <w:rFonts w:asciiTheme="minorHAnsi" w:hAnsiTheme="minorHAnsi" w:cstheme="majorHAnsi"/>
        </w:rPr>
        <w:t>surgical ligation</w:t>
      </w:r>
      <w:r w:rsidR="00930180" w:rsidRPr="00C158AE">
        <w:rPr>
          <w:rFonts w:asciiTheme="minorHAnsi" w:hAnsiTheme="minorHAnsi" w:cstheme="majorHAnsi"/>
        </w:rPr>
        <w:t xml:space="preserve"> should be considered in these cases. </w:t>
      </w:r>
    </w:p>
    <w:p w14:paraId="256FFE01" w14:textId="77777777" w:rsidR="00887386" w:rsidRPr="00C158AE" w:rsidRDefault="00887386" w:rsidP="00C158AE">
      <w:pPr>
        <w:rPr>
          <w:rFonts w:asciiTheme="minorHAnsi" w:hAnsiTheme="minorHAnsi" w:cstheme="majorHAnsi"/>
        </w:rPr>
      </w:pPr>
    </w:p>
    <w:p w14:paraId="05C3779B" w14:textId="77777777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Conclusion:</w:t>
      </w:r>
    </w:p>
    <w:p w14:paraId="36D02018" w14:textId="629BACAF" w:rsidR="005A3432" w:rsidRPr="00C158AE" w:rsidRDefault="005A3432" w:rsidP="00C158AE">
      <w:pPr>
        <w:rPr>
          <w:rFonts w:asciiTheme="minorHAnsi" w:hAnsiTheme="minorHAnsi" w:cstheme="majorHAnsi"/>
          <w:b/>
        </w:rPr>
      </w:pPr>
    </w:p>
    <w:p w14:paraId="3002CE6C" w14:textId="2436AFAB" w:rsidR="00EC762C" w:rsidRPr="00C158AE" w:rsidRDefault="00EC762C" w:rsidP="00C158AE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</w:rPr>
        <w:t>Head-to-head comparison of different drugs used to attempt pharmacological closure of PDA (</w:t>
      </w:r>
      <w:r w:rsidRPr="00C158AE">
        <w:rPr>
          <w:rFonts w:asciiTheme="minorHAnsi" w:hAnsiTheme="minorHAnsi" w:cstheme="majorHAnsi"/>
        </w:rPr>
        <w:t>indomethacin, ibuprofen</w:t>
      </w:r>
      <w:r w:rsidRPr="00C158AE">
        <w:rPr>
          <w:rFonts w:asciiTheme="minorHAnsi" w:hAnsiTheme="minorHAnsi" w:cstheme="majorHAnsi"/>
        </w:rPr>
        <w:t xml:space="preserve">, &amp; paracetamol) </w:t>
      </w:r>
      <w:r w:rsidR="00BB39E0" w:rsidRPr="00C158AE">
        <w:rPr>
          <w:rFonts w:asciiTheme="minorHAnsi" w:hAnsiTheme="minorHAnsi" w:cstheme="majorHAnsi"/>
        </w:rPr>
        <w:t xml:space="preserve">is </w:t>
      </w:r>
      <w:r w:rsidR="006F2E17" w:rsidRPr="00C158AE">
        <w:rPr>
          <w:rFonts w:asciiTheme="minorHAnsi" w:hAnsiTheme="minorHAnsi" w:cstheme="majorHAnsi"/>
        </w:rPr>
        <w:t>particularly tricky</w:t>
      </w:r>
      <w:r w:rsidR="00BB39E0" w:rsidRPr="00C158AE">
        <w:rPr>
          <w:rFonts w:asciiTheme="minorHAnsi" w:hAnsiTheme="minorHAnsi" w:cstheme="majorHAnsi"/>
        </w:rPr>
        <w:t xml:space="preserve"> due to variations of </w:t>
      </w:r>
      <w:r w:rsidR="006F2E17" w:rsidRPr="00C158AE">
        <w:rPr>
          <w:rFonts w:asciiTheme="minorHAnsi" w:hAnsiTheme="minorHAnsi" w:cstheme="majorHAnsi"/>
        </w:rPr>
        <w:t>criteria used to define h</w:t>
      </w:r>
      <w:r w:rsidR="006F2E17" w:rsidRPr="00C158AE">
        <w:rPr>
          <w:rFonts w:asciiTheme="minorHAnsi" w:hAnsiTheme="minorHAnsi" w:cstheme="majorHAnsi"/>
        </w:rPr>
        <w:t>emodynamically significant</w:t>
      </w:r>
      <w:r w:rsidR="006F2E17" w:rsidRPr="00C158AE">
        <w:rPr>
          <w:rFonts w:asciiTheme="minorHAnsi" w:hAnsiTheme="minorHAnsi" w:cstheme="majorHAnsi"/>
        </w:rPr>
        <w:t xml:space="preserve"> PDA and multiple </w:t>
      </w:r>
      <w:r w:rsidR="00BB39E0" w:rsidRPr="00C158AE">
        <w:rPr>
          <w:rFonts w:asciiTheme="minorHAnsi" w:hAnsiTheme="minorHAnsi" w:cstheme="majorHAnsi"/>
        </w:rPr>
        <w:t xml:space="preserve">treatment protocols </w:t>
      </w:r>
      <w:r w:rsidR="007E5516" w:rsidRPr="00C158AE">
        <w:rPr>
          <w:rFonts w:asciiTheme="minorHAnsi" w:hAnsiTheme="minorHAnsi" w:cstheme="majorHAnsi"/>
        </w:rPr>
        <w:t xml:space="preserve">used </w:t>
      </w:r>
      <w:r w:rsidR="006F2E17" w:rsidRPr="00C158AE">
        <w:rPr>
          <w:rFonts w:asciiTheme="minorHAnsi" w:hAnsiTheme="minorHAnsi" w:cstheme="majorHAnsi"/>
        </w:rPr>
        <w:t>with variations in dosing</w:t>
      </w:r>
      <w:r w:rsidR="00EB3444" w:rsidRPr="00C158AE">
        <w:rPr>
          <w:rFonts w:asciiTheme="minorHAnsi" w:hAnsiTheme="minorHAnsi" w:cstheme="majorHAnsi"/>
        </w:rPr>
        <w:t xml:space="preserve"> &amp;</w:t>
      </w:r>
      <w:r w:rsidR="006F2E17" w:rsidRPr="00C158AE">
        <w:rPr>
          <w:rFonts w:asciiTheme="minorHAnsi" w:hAnsiTheme="minorHAnsi" w:cstheme="majorHAnsi"/>
        </w:rPr>
        <w:t xml:space="preserve"> route of administration (enteral vs IV bolus vs IV continuous) </w:t>
      </w:r>
      <w:r w:rsidR="00BB39E0" w:rsidRPr="00C158AE">
        <w:rPr>
          <w:rFonts w:asciiTheme="minorHAnsi" w:hAnsiTheme="minorHAnsi" w:cstheme="majorHAnsi"/>
        </w:rPr>
        <w:t xml:space="preserve">across </w:t>
      </w:r>
      <w:r w:rsidR="007E5516" w:rsidRPr="00C158AE">
        <w:rPr>
          <w:rFonts w:asciiTheme="minorHAnsi" w:hAnsiTheme="minorHAnsi" w:cstheme="majorHAnsi"/>
        </w:rPr>
        <w:t>different</w:t>
      </w:r>
      <w:r w:rsidR="00BB39E0" w:rsidRPr="00C158AE">
        <w:rPr>
          <w:rFonts w:asciiTheme="minorHAnsi" w:hAnsiTheme="minorHAnsi" w:cstheme="majorHAnsi"/>
        </w:rPr>
        <w:t xml:space="preserve"> </w:t>
      </w:r>
      <w:r w:rsidR="006F2E17" w:rsidRPr="00C158AE">
        <w:rPr>
          <w:rFonts w:asciiTheme="minorHAnsi" w:hAnsiTheme="minorHAnsi" w:cstheme="majorHAnsi"/>
        </w:rPr>
        <w:t>studies</w:t>
      </w:r>
      <w:r w:rsidR="00BB39E0" w:rsidRPr="00C158AE">
        <w:rPr>
          <w:rFonts w:asciiTheme="minorHAnsi" w:hAnsiTheme="minorHAnsi" w:cstheme="majorHAnsi"/>
        </w:rPr>
        <w:t xml:space="preserve">. </w:t>
      </w:r>
      <w:r w:rsidR="007E5516" w:rsidRPr="00C158AE">
        <w:rPr>
          <w:rFonts w:asciiTheme="minorHAnsi" w:hAnsiTheme="minorHAnsi" w:cstheme="majorHAnsi"/>
        </w:rPr>
        <w:t xml:space="preserve">A recent meta-analysis however concluded that </w:t>
      </w:r>
      <w:r w:rsidR="0087454F" w:rsidRPr="00C158AE">
        <w:rPr>
          <w:rFonts w:asciiTheme="minorHAnsi" w:hAnsiTheme="minorHAnsi" w:cstheme="majorHAnsi"/>
        </w:rPr>
        <w:t xml:space="preserve">high-dose oral ibuprofen was the most efficacious regimen for </w:t>
      </w:r>
      <w:r w:rsidR="007E1AE5" w:rsidRPr="00C158AE">
        <w:rPr>
          <w:rFonts w:asciiTheme="minorHAnsi" w:hAnsiTheme="minorHAnsi" w:cstheme="majorHAnsi"/>
        </w:rPr>
        <w:t>pharmacological closure of PDA</w:t>
      </w:r>
      <w:r w:rsidR="0087454F" w:rsidRPr="00C158AE">
        <w:rPr>
          <w:rFonts w:asciiTheme="minorHAnsi" w:hAnsiTheme="minorHAnsi" w:cstheme="majorHAnsi"/>
        </w:rPr>
        <w:t xml:space="preserve">. </w:t>
      </w:r>
      <w:r w:rsidR="00217781" w:rsidRPr="00C158AE">
        <w:rPr>
          <w:rFonts w:asciiTheme="minorHAnsi" w:hAnsiTheme="minorHAnsi" w:cstheme="majorHAnsi"/>
        </w:rPr>
        <w:t xml:space="preserve">Because surgical ligation has become increasingly uncommon &amp; </w:t>
      </w:r>
      <w:r w:rsidR="00842E71" w:rsidRPr="00C158AE">
        <w:rPr>
          <w:rFonts w:asciiTheme="minorHAnsi" w:hAnsiTheme="minorHAnsi" w:cstheme="majorHAnsi"/>
        </w:rPr>
        <w:t xml:space="preserve">published data is observational, it remains uncertain whether infants who fail pharmacological closure are more severely compromised to begin with, or in fact surgical intervention contributes to increased morbidity &amp; mortality seen in such cases. </w:t>
      </w:r>
    </w:p>
    <w:p w14:paraId="706FFC5F" w14:textId="73447D26" w:rsidR="005A3432" w:rsidRPr="00C158AE" w:rsidRDefault="005A3432" w:rsidP="00C158AE">
      <w:pPr>
        <w:rPr>
          <w:rFonts w:asciiTheme="minorHAnsi" w:hAnsiTheme="minorHAnsi" w:cstheme="majorHAnsi"/>
        </w:rPr>
      </w:pPr>
    </w:p>
    <w:p w14:paraId="1331B802" w14:textId="77777777" w:rsidR="005A3432" w:rsidRPr="00C158AE" w:rsidRDefault="005A3432" w:rsidP="00C158AE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References: </w:t>
      </w:r>
    </w:p>
    <w:p w14:paraId="756CE2FD" w14:textId="77777777" w:rsidR="005A3432" w:rsidRPr="00C158AE" w:rsidRDefault="005A3432" w:rsidP="00C158AE">
      <w:pPr>
        <w:rPr>
          <w:rFonts w:asciiTheme="minorHAnsi" w:hAnsiTheme="minorHAnsi" w:cstheme="majorHAnsi"/>
        </w:rPr>
      </w:pPr>
    </w:p>
    <w:p w14:paraId="29FF743F" w14:textId="279802D6" w:rsidR="00C158AE" w:rsidRPr="00C158AE" w:rsidRDefault="00C158AE" w:rsidP="0024259B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ajorHAnsi"/>
          <w:sz w:val="24"/>
          <w:szCs w:val="24"/>
        </w:rPr>
      </w:pPr>
      <w:r w:rsidRPr="00C158AE">
        <w:rPr>
          <w:rFonts w:cstheme="majorHAnsi"/>
          <w:sz w:val="24"/>
          <w:szCs w:val="24"/>
        </w:rPr>
        <w:t>Mitra S, Florez ID, Tamayo ME, et al. Association of Placebo, Indomethacin, Ibuprofen, and Acetaminophen With Closure of Hemodynamically Significant Patent Ductus Arteriosus in Preterm Infants: A Systematic Review and Meta-analysis. JAMA 2018; 319:1221.</w:t>
      </w:r>
    </w:p>
    <w:p w14:paraId="65F0E9C9" w14:textId="1BE2A17B" w:rsidR="00C158AE" w:rsidRPr="00C158AE" w:rsidRDefault="00C158AE" w:rsidP="00745E01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ajorHAnsi"/>
          <w:sz w:val="24"/>
          <w:szCs w:val="24"/>
        </w:rPr>
      </w:pPr>
      <w:r w:rsidRPr="00C158AE">
        <w:rPr>
          <w:rFonts w:cstheme="majorHAnsi"/>
          <w:sz w:val="24"/>
          <w:szCs w:val="24"/>
        </w:rPr>
        <w:t>Dang D, Wang D, Zhang C, et al. Comparison of oral paracetamol versus ibuprofen in premature infants with patent ductus arteriosus: a randomized controlled trial. PLoS One 2013; 8:e77888.</w:t>
      </w:r>
    </w:p>
    <w:p w14:paraId="55EF3C05" w14:textId="423299F4" w:rsidR="00C158AE" w:rsidRPr="00C158AE" w:rsidRDefault="00C158AE" w:rsidP="00FC7E9C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ajorHAnsi"/>
          <w:sz w:val="24"/>
          <w:szCs w:val="24"/>
        </w:rPr>
      </w:pPr>
      <w:r w:rsidRPr="00C158AE">
        <w:rPr>
          <w:rFonts w:cstheme="majorHAnsi"/>
          <w:sz w:val="24"/>
          <w:szCs w:val="24"/>
        </w:rPr>
        <w:t>Ohlsson A, Walia R, Shah SS. Ibuprofen for the treatment of patent ductus arteriosus in preterm or low birth weight (or both) infants. Cochrane Database Syst Rev 2015; :CD003481.</w:t>
      </w:r>
    </w:p>
    <w:p w14:paraId="55DE735E" w14:textId="084FADE6" w:rsidR="00C158AE" w:rsidRPr="00C158AE" w:rsidRDefault="00C158AE" w:rsidP="00C158AE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ajorHAnsi"/>
          <w:sz w:val="24"/>
          <w:szCs w:val="24"/>
        </w:rPr>
      </w:pPr>
      <w:r w:rsidRPr="00C158AE">
        <w:rPr>
          <w:rFonts w:cstheme="majorHAnsi"/>
          <w:sz w:val="24"/>
          <w:szCs w:val="24"/>
        </w:rPr>
        <w:t>Terrin G, Conte F, Oncel MY, et al. Paracetamol for the treatment of patent ductus arteriosus in preterm neonates: a systematic review and meta-analysis. Arch Dis Child Fetal Neonatal Ed 2016; 101:F127.</w:t>
      </w:r>
    </w:p>
    <w:p w14:paraId="57A2F9F8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225C7A82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eastAsia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Presenting author’s details:</w:t>
      </w:r>
    </w:p>
    <w:p w14:paraId="50D497C8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06CFA33C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 xml:space="preserve">Full name: </w:t>
      </w:r>
      <w:r w:rsidRPr="00C158AE">
        <w:rPr>
          <w:rFonts w:asciiTheme="minorHAnsi" w:hAnsiTheme="minorHAnsi" w:cstheme="majorHAnsi"/>
        </w:rPr>
        <w:t>Dr Fazal e Rabi Subhani</w:t>
      </w:r>
    </w:p>
    <w:p w14:paraId="66B5E486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Contact number:</w:t>
      </w:r>
      <w:r w:rsidRPr="00C158AE">
        <w:rPr>
          <w:rFonts w:ascii="MS Gothic" w:eastAsia="MS Gothic" w:hAnsi="MS Gothic" w:cs="MS Gothic" w:hint="eastAsia"/>
          <w:b/>
        </w:rPr>
        <w:t xml:space="preserve"> </w:t>
      </w:r>
      <w:r w:rsidRPr="00C158AE">
        <w:rPr>
          <w:rFonts w:asciiTheme="minorHAnsi" w:eastAsiaTheme="minorHAnsi" w:hAnsiTheme="minorHAnsi" w:cstheme="majorHAnsi"/>
        </w:rPr>
        <w:t>00353857294455</w:t>
      </w:r>
    </w:p>
    <w:p w14:paraId="6B0CDD91" w14:textId="77777777" w:rsidR="005A3432" w:rsidRPr="00C158AE" w:rsidRDefault="005A3432" w:rsidP="00C158AE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Track name:</w:t>
      </w:r>
      <w:r w:rsidRPr="00C158AE">
        <w:rPr>
          <w:rFonts w:asciiTheme="minorHAnsi" w:eastAsiaTheme="minorHAnsi" w:hAnsiTheme="minorHAnsi" w:cstheme="majorHAnsi"/>
        </w:rPr>
        <w:t xml:space="preserve"> Pediatric Critical Care and Emergency Medicine </w:t>
      </w:r>
    </w:p>
    <w:p w14:paraId="679CEB4D" w14:textId="77777777" w:rsidR="005A3432" w:rsidRPr="00C158AE" w:rsidRDefault="005A3432" w:rsidP="00C158AE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Category:</w:t>
      </w:r>
      <w:r w:rsidRPr="00C158AE">
        <w:rPr>
          <w:rFonts w:asciiTheme="minorHAnsi" w:hAnsiTheme="minorHAnsi" w:cstheme="majorHAnsi"/>
        </w:rPr>
        <w:t xml:space="preserve"> Poster presentation</w:t>
      </w:r>
    </w:p>
    <w:p w14:paraId="09FBCAE8" w14:textId="77777777" w:rsidR="005A3432" w:rsidRPr="00C158AE" w:rsidRDefault="005A3432" w:rsidP="00C158AE">
      <w:pPr>
        <w:rPr>
          <w:rFonts w:asciiTheme="minorHAnsi" w:hAnsiTheme="minorHAnsi" w:cstheme="majorHAnsi"/>
        </w:rPr>
      </w:pPr>
    </w:p>
    <w:p w14:paraId="1BA3E945" w14:textId="77777777" w:rsidR="005A3432" w:rsidRPr="00C158AE" w:rsidRDefault="005A3432" w:rsidP="00C158AE">
      <w:pPr>
        <w:rPr>
          <w:rFonts w:asciiTheme="minorHAnsi" w:hAnsiTheme="minorHAnsi" w:cstheme="majorHAnsi"/>
        </w:rPr>
      </w:pPr>
    </w:p>
    <w:p w14:paraId="7A38BE60" w14:textId="77777777" w:rsidR="005A3432" w:rsidRPr="00C158AE" w:rsidRDefault="005A3432" w:rsidP="00C158AE"/>
    <w:p w14:paraId="1369A09D" w14:textId="77777777" w:rsidR="00C15C12" w:rsidRPr="00C158AE" w:rsidRDefault="00984F17" w:rsidP="00C158AE"/>
    <w:sectPr w:rsidR="00C15C12" w:rsidRPr="00C158AE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26774"/>
    <w:multiLevelType w:val="hybridMultilevel"/>
    <w:tmpl w:val="53B0F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E6841"/>
    <w:multiLevelType w:val="hybridMultilevel"/>
    <w:tmpl w:val="8A6CF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32"/>
    <w:rsid w:val="00033957"/>
    <w:rsid w:val="0005679E"/>
    <w:rsid w:val="0005730E"/>
    <w:rsid w:val="0009614F"/>
    <w:rsid w:val="000B7052"/>
    <w:rsid w:val="00134BA7"/>
    <w:rsid w:val="001C7AA3"/>
    <w:rsid w:val="001F30C6"/>
    <w:rsid w:val="001F6FA9"/>
    <w:rsid w:val="00200D1A"/>
    <w:rsid w:val="00217781"/>
    <w:rsid w:val="0022256D"/>
    <w:rsid w:val="002F1994"/>
    <w:rsid w:val="00314838"/>
    <w:rsid w:val="00375056"/>
    <w:rsid w:val="0039317E"/>
    <w:rsid w:val="003B1117"/>
    <w:rsid w:val="003C385E"/>
    <w:rsid w:val="004213F8"/>
    <w:rsid w:val="0048423B"/>
    <w:rsid w:val="004B393F"/>
    <w:rsid w:val="0050077D"/>
    <w:rsid w:val="005446D1"/>
    <w:rsid w:val="005A3432"/>
    <w:rsid w:val="006021BD"/>
    <w:rsid w:val="006139DC"/>
    <w:rsid w:val="006251B4"/>
    <w:rsid w:val="006F2E17"/>
    <w:rsid w:val="007407AF"/>
    <w:rsid w:val="0074509F"/>
    <w:rsid w:val="00751D25"/>
    <w:rsid w:val="007623C4"/>
    <w:rsid w:val="00796E69"/>
    <w:rsid w:val="007E1AE5"/>
    <w:rsid w:val="007E5516"/>
    <w:rsid w:val="00835FCF"/>
    <w:rsid w:val="00842E71"/>
    <w:rsid w:val="00857B60"/>
    <w:rsid w:val="0087454F"/>
    <w:rsid w:val="00875BD4"/>
    <w:rsid w:val="00887386"/>
    <w:rsid w:val="008E36F6"/>
    <w:rsid w:val="00902F97"/>
    <w:rsid w:val="00926E38"/>
    <w:rsid w:val="00930180"/>
    <w:rsid w:val="0093106E"/>
    <w:rsid w:val="00932DFF"/>
    <w:rsid w:val="00944859"/>
    <w:rsid w:val="00947FBF"/>
    <w:rsid w:val="00984F17"/>
    <w:rsid w:val="009B2644"/>
    <w:rsid w:val="00A27220"/>
    <w:rsid w:val="00AA487D"/>
    <w:rsid w:val="00B70835"/>
    <w:rsid w:val="00B965BA"/>
    <w:rsid w:val="00BB39E0"/>
    <w:rsid w:val="00C158AE"/>
    <w:rsid w:val="00C3520A"/>
    <w:rsid w:val="00CB27BC"/>
    <w:rsid w:val="00CB4A7C"/>
    <w:rsid w:val="00CC1EB8"/>
    <w:rsid w:val="00CD68E1"/>
    <w:rsid w:val="00CD698A"/>
    <w:rsid w:val="00D02AD5"/>
    <w:rsid w:val="00D30297"/>
    <w:rsid w:val="00D82E4F"/>
    <w:rsid w:val="00D9682F"/>
    <w:rsid w:val="00DC16DD"/>
    <w:rsid w:val="00DC62F2"/>
    <w:rsid w:val="00E232CF"/>
    <w:rsid w:val="00E81A35"/>
    <w:rsid w:val="00EB3444"/>
    <w:rsid w:val="00EC762C"/>
    <w:rsid w:val="00FB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EA5D5"/>
  <w15:chartTrackingRefBased/>
  <w15:docId w15:val="{24B8A4C5-9710-F841-9D08-7982049C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43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43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158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158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7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55</cp:revision>
  <dcterms:created xsi:type="dcterms:W3CDTF">2019-11-19T12:29:00Z</dcterms:created>
  <dcterms:modified xsi:type="dcterms:W3CDTF">2019-11-19T14:39:00Z</dcterms:modified>
</cp:coreProperties>
</file>