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CA4" w:rsidRDefault="00FB0F39">
      <w:r>
        <w:t>Abstract</w:t>
      </w:r>
    </w:p>
    <w:p w:rsidR="000775A6" w:rsidRDefault="00FB0F39" w:rsidP="000775A6">
      <w:pPr>
        <w:spacing w:line="360" w:lineRule="auto"/>
      </w:pPr>
      <w:r>
        <w:t xml:space="preserve">Sickle cell disease is a chronic condition associated with a variety of complications, with stroke being one of the most prevalent. By the age of 20, 11% of patients with homozygous sickle cell disease will have suffered a stroke secondary to their condition. </w:t>
      </w:r>
      <w:proofErr w:type="spellStart"/>
      <w:r w:rsidR="00942B18">
        <w:t>Transcranial</w:t>
      </w:r>
      <w:proofErr w:type="spellEnd"/>
      <w:r w:rsidR="00942B18">
        <w:t xml:space="preserve"> </w:t>
      </w:r>
      <w:proofErr w:type="spellStart"/>
      <w:r w:rsidR="00942B18">
        <w:t>doppler</w:t>
      </w:r>
      <w:proofErr w:type="spellEnd"/>
      <w:r w:rsidR="00942B18">
        <w:t xml:space="preserve"> scans (TCD) can be used to assess the risk of this complication by measuring</w:t>
      </w:r>
      <w:r w:rsidR="000775A6">
        <w:t xml:space="preserve"> cerebral artery</w:t>
      </w:r>
      <w:r w:rsidR="00942B18">
        <w:t xml:space="preserve"> blood flow velocity. </w:t>
      </w:r>
    </w:p>
    <w:p w:rsidR="000775A6" w:rsidRDefault="00942B18" w:rsidP="000775A6">
      <w:pPr>
        <w:spacing w:line="360" w:lineRule="auto"/>
      </w:pPr>
      <w:r>
        <w:t xml:space="preserve">The main objective of this audit was to assess uptake of TCD scans in a sickle cell patient cohort, and to investigate adherence to repeat TCD scans at the </w:t>
      </w:r>
      <w:proofErr w:type="spellStart"/>
      <w:r>
        <w:t>Evelina</w:t>
      </w:r>
      <w:proofErr w:type="spellEnd"/>
      <w:r>
        <w:t xml:space="preserve"> Children's Hospital. The rate of TCD adherence </w:t>
      </w:r>
      <w:r w:rsidR="004278C4">
        <w:t xml:space="preserve">over a 3 year period was 166 patients, </w:t>
      </w:r>
      <w:r w:rsidR="000775A6">
        <w:t>93%</w:t>
      </w:r>
      <w:r w:rsidR="004278C4">
        <w:t xml:space="preserve"> receiving normal results</w:t>
      </w:r>
      <w:r w:rsidR="000775A6">
        <w:t>,</w:t>
      </w:r>
      <w:r w:rsidR="004278C4">
        <w:t xml:space="preserve"> 6% with conditional results</w:t>
      </w:r>
      <w:r w:rsidR="000775A6">
        <w:t>, and 1</w:t>
      </w:r>
      <w:r w:rsidR="004278C4">
        <w:t>% with an abnormal result</w:t>
      </w:r>
      <w:r w:rsidR="000775A6">
        <w:t xml:space="preserve">. Patient adherence across all patients under investigation equalled less than 60%, which was underwhelming when compared to national guidelines recommending an adherence of 90%. </w:t>
      </w:r>
    </w:p>
    <w:p w:rsidR="00FB0F39" w:rsidRDefault="000775A6" w:rsidP="000775A6">
      <w:pPr>
        <w:spacing w:line="360" w:lineRule="auto"/>
      </w:pPr>
      <w:r>
        <w:t>Reasons</w:t>
      </w:r>
      <w:r w:rsidR="004278C4">
        <w:t xml:space="preserve"> proposed</w:t>
      </w:r>
      <w:r>
        <w:t xml:space="preserve"> </w:t>
      </w:r>
      <w:r w:rsidR="004278C4">
        <w:t>for this disparity may</w:t>
      </w:r>
      <w:r>
        <w:t xml:space="preserve"> include outside commitments of older patients, the inconvenience of taking time out of work for parents/guardians, </w:t>
      </w:r>
      <w:r w:rsidR="004278C4">
        <w:t>and potentially</w:t>
      </w:r>
      <w:r>
        <w:t xml:space="preserve"> a lack of understanding regarding the significance of the results of the TCD scan</w:t>
      </w:r>
      <w:r w:rsidR="004278C4">
        <w:t xml:space="preserve">. These </w:t>
      </w:r>
      <w:r>
        <w:t>can</w:t>
      </w:r>
      <w:r w:rsidR="004278C4">
        <w:t xml:space="preserve"> all</w:t>
      </w:r>
      <w:r>
        <w:t xml:space="preserve"> invariably have a negative impact on scan adherence. An intervention proposed to overcome this includes a mobile phone </w:t>
      </w:r>
      <w:r w:rsidR="004278C4">
        <w:t xml:space="preserve">texting </w:t>
      </w:r>
      <w:r>
        <w:t>service for parents one week before the scan</w:t>
      </w:r>
      <w:r w:rsidR="004278C4">
        <w:t>;</w:t>
      </w:r>
      <w:r>
        <w:t xml:space="preserve"> alert</w:t>
      </w:r>
      <w:r w:rsidR="004278C4">
        <w:t>ing</w:t>
      </w:r>
      <w:r>
        <w:t xml:space="preserve"> them </w:t>
      </w:r>
      <w:r w:rsidR="004278C4">
        <w:t>of</w:t>
      </w:r>
      <w:r>
        <w:t xml:space="preserve"> their upcoming appointment. It may also be beneficial to consider leaflet distribution to parents/guardians, to outline the importance of the scans and the </w:t>
      </w:r>
      <w:r w:rsidR="004278C4">
        <w:t>value</w:t>
      </w:r>
      <w:r>
        <w:t xml:space="preserve"> of ongoing management and prophylaxis for this life-changing condition. </w:t>
      </w:r>
    </w:p>
    <w:sectPr w:rsidR="00FB0F39" w:rsidSect="007424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B0F39"/>
    <w:rsid w:val="00043C89"/>
    <w:rsid w:val="000775A6"/>
    <w:rsid w:val="004278C4"/>
    <w:rsid w:val="005E5C75"/>
    <w:rsid w:val="00742476"/>
    <w:rsid w:val="00942B18"/>
    <w:rsid w:val="00FB0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4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Ashleigh Draper</dc:creator>
  <cp:lastModifiedBy>Ashleigh Draper</cp:lastModifiedBy>
  <cp:revision>1</cp:revision>
  <dcterms:created xsi:type="dcterms:W3CDTF">2017-03-22T18:33:00Z</dcterms:created>
  <dcterms:modified xsi:type="dcterms:W3CDTF">2017-03-22T19:19:00Z</dcterms:modified>
</cp:coreProperties>
</file>