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F73AC" w:rsidRPr="007F73AC" w:rsidRDefault="00263ACB" w:rsidP="00263ACB">
      <w:pPr>
        <w:autoSpaceDE w:val="0"/>
        <w:autoSpaceDN w:val="0"/>
        <w:bidi w:val="0"/>
        <w:adjustRightInd w:val="0"/>
        <w:spacing w:after="0" w:line="240" w:lineRule="auto"/>
        <w:rPr>
          <w:rFonts w:asciiTheme="majorBidi" w:hAnsiTheme="majorBidi"/>
          <w:b/>
          <w:bCs/>
          <w:sz w:val="32"/>
          <w:szCs w:val="32"/>
        </w:rPr>
      </w:pPr>
      <w:r>
        <w:rPr>
          <w:rFonts w:asciiTheme="majorBidi" w:hAnsiTheme="majorBidi"/>
          <w:b/>
          <w:bCs/>
          <w:sz w:val="32"/>
          <w:szCs w:val="32"/>
        </w:rPr>
        <w:t>Nurse m</w:t>
      </w:r>
      <w:r w:rsidR="007F73AC" w:rsidRPr="007F73AC">
        <w:rPr>
          <w:rFonts w:asciiTheme="majorBidi" w:hAnsiTheme="majorBidi"/>
          <w:b/>
          <w:bCs/>
          <w:sz w:val="32"/>
          <w:szCs w:val="32"/>
        </w:rPr>
        <w:t>idwifery students’ experience of role-playing as a teaching strategy: a qualitative study</w:t>
      </w:r>
    </w:p>
    <w:p w:rsidR="007F73AC" w:rsidRDefault="00E55DF6" w:rsidP="00E55DF6">
      <w:pPr>
        <w:autoSpaceDE w:val="0"/>
        <w:autoSpaceDN w:val="0"/>
        <w:bidi w:val="0"/>
        <w:adjustRightInd w:val="0"/>
        <w:spacing w:after="0" w:line="240" w:lineRule="auto"/>
        <w:rPr>
          <w:rFonts w:asciiTheme="majorBidi" w:hAnsiTheme="majorBidi" w:cs="TimesNewRoman"/>
          <w:sz w:val="20"/>
          <w:szCs w:val="20"/>
        </w:rPr>
      </w:pPr>
      <w:proofErr w:type="spellStart"/>
      <w:r>
        <w:rPr>
          <w:rFonts w:asciiTheme="majorBidi" w:hAnsiTheme="majorBidi"/>
          <w:b/>
          <w:bCs/>
          <w:sz w:val="20"/>
          <w:szCs w:val="20"/>
        </w:rPr>
        <w:t>Mahnaz</w:t>
      </w:r>
      <w:proofErr w:type="spellEnd"/>
      <w:r>
        <w:rPr>
          <w:rFonts w:asciiTheme="majorBidi" w:hAnsiTheme="majorBidi"/>
          <w:b/>
          <w:bCs/>
          <w:sz w:val="20"/>
          <w:szCs w:val="20"/>
        </w:rPr>
        <w:t xml:space="preserve"> </w:t>
      </w:r>
      <w:proofErr w:type="spellStart"/>
      <w:r w:rsidR="007F73AC" w:rsidRPr="007F73AC">
        <w:rPr>
          <w:rFonts w:asciiTheme="majorBidi" w:hAnsiTheme="majorBidi"/>
          <w:b/>
          <w:bCs/>
          <w:sz w:val="20"/>
          <w:szCs w:val="20"/>
        </w:rPr>
        <w:t>Khatiban</w:t>
      </w:r>
      <w:proofErr w:type="spellEnd"/>
      <w:r w:rsidR="007F73AC" w:rsidRPr="007F73AC">
        <w:rPr>
          <w:rFonts w:asciiTheme="majorBidi" w:hAnsiTheme="majorBidi"/>
          <w:b/>
          <w:bCs/>
          <w:sz w:val="20"/>
          <w:szCs w:val="20"/>
        </w:rPr>
        <w:t xml:space="preserve"> </w:t>
      </w:r>
      <w:r w:rsidR="007F73AC" w:rsidRPr="007F73AC">
        <w:rPr>
          <w:rFonts w:asciiTheme="majorBidi" w:hAnsiTheme="majorBidi" w:cs="TimesNewRoman"/>
          <w:sz w:val="20"/>
          <w:szCs w:val="20"/>
        </w:rPr>
        <w:t>(</w:t>
      </w:r>
      <w:proofErr w:type="spellStart"/>
      <w:r w:rsidR="007F73AC" w:rsidRPr="007F73AC">
        <w:rPr>
          <w:rFonts w:asciiTheme="majorBidi" w:hAnsiTheme="majorBidi" w:cs="TimesNewRoman"/>
          <w:sz w:val="20"/>
          <w:szCs w:val="20"/>
        </w:rPr>
        <w:t>Ph.D</w:t>
      </w:r>
      <w:proofErr w:type="spellEnd"/>
      <w:r w:rsidR="007F73AC" w:rsidRPr="007F73AC">
        <w:rPr>
          <w:rFonts w:asciiTheme="majorBidi" w:hAnsiTheme="majorBidi" w:cs="TimesNewRoman"/>
          <w:sz w:val="20"/>
          <w:szCs w:val="20"/>
        </w:rPr>
        <w:t xml:space="preserve">) </w:t>
      </w:r>
      <w:r>
        <w:rPr>
          <w:rFonts w:asciiTheme="majorBidi" w:hAnsiTheme="majorBidi" w:cs="TimesNewRoman"/>
          <w:sz w:val="20"/>
          <w:szCs w:val="20"/>
        </w:rPr>
        <w:t>–</w:t>
      </w:r>
      <w:r w:rsidR="007F73AC" w:rsidRPr="007F73AC">
        <w:rPr>
          <w:rFonts w:asciiTheme="majorBidi" w:hAnsiTheme="majorBidi" w:cs="TimesNewRoman"/>
          <w:sz w:val="20"/>
          <w:szCs w:val="20"/>
        </w:rPr>
        <w:t xml:space="preserve"> </w:t>
      </w:r>
      <w:proofErr w:type="spellStart"/>
      <w:r w:rsidRPr="00E55DF6">
        <w:rPr>
          <w:rFonts w:asciiTheme="majorBidi" w:hAnsiTheme="majorBidi"/>
          <w:b/>
          <w:bCs/>
          <w:sz w:val="20"/>
          <w:szCs w:val="20"/>
        </w:rPr>
        <w:t>Gita</w:t>
      </w:r>
      <w:proofErr w:type="spellEnd"/>
      <w:r w:rsidRPr="00E55DF6">
        <w:rPr>
          <w:rFonts w:asciiTheme="majorBidi" w:hAnsiTheme="majorBidi"/>
          <w:b/>
          <w:bCs/>
          <w:sz w:val="20"/>
          <w:szCs w:val="20"/>
        </w:rPr>
        <w:t xml:space="preserve"> </w:t>
      </w:r>
      <w:proofErr w:type="spellStart"/>
      <w:r w:rsidR="007F73AC" w:rsidRPr="007F73AC">
        <w:rPr>
          <w:rFonts w:asciiTheme="majorBidi" w:hAnsiTheme="majorBidi"/>
          <w:b/>
          <w:bCs/>
          <w:sz w:val="20"/>
          <w:szCs w:val="20"/>
        </w:rPr>
        <w:t>Sangestani</w:t>
      </w:r>
      <w:proofErr w:type="spellEnd"/>
      <w:r w:rsidR="007F73AC" w:rsidRPr="007F73AC">
        <w:rPr>
          <w:rFonts w:asciiTheme="majorBidi" w:hAnsiTheme="majorBidi"/>
          <w:b/>
          <w:bCs/>
          <w:sz w:val="13"/>
          <w:szCs w:val="13"/>
        </w:rPr>
        <w:t xml:space="preserve"> </w:t>
      </w:r>
      <w:r w:rsidR="007F73AC" w:rsidRPr="007F73AC">
        <w:rPr>
          <w:rFonts w:asciiTheme="majorBidi" w:hAnsiTheme="majorBidi" w:cs="TimesNewRoman"/>
          <w:sz w:val="20"/>
          <w:szCs w:val="20"/>
        </w:rPr>
        <w:t>(</w:t>
      </w:r>
      <w:proofErr w:type="spellStart"/>
      <w:r w:rsidR="007F73AC" w:rsidRPr="007F73AC">
        <w:rPr>
          <w:rFonts w:asciiTheme="majorBidi" w:hAnsiTheme="majorBidi" w:cs="TimesNewRoman"/>
          <w:sz w:val="20"/>
          <w:szCs w:val="20"/>
        </w:rPr>
        <w:t>Ph.D</w:t>
      </w:r>
      <w:proofErr w:type="spellEnd"/>
      <w:r w:rsidR="007F73AC" w:rsidRPr="007F73AC">
        <w:rPr>
          <w:rFonts w:asciiTheme="majorBidi" w:hAnsiTheme="majorBidi" w:cs="TimesNewRoman"/>
          <w:sz w:val="20"/>
          <w:szCs w:val="20"/>
        </w:rPr>
        <w:t xml:space="preserve">) </w:t>
      </w:r>
      <w:r>
        <w:rPr>
          <w:rFonts w:asciiTheme="majorBidi" w:hAnsiTheme="majorBidi" w:cs="TimesNewRoman"/>
          <w:sz w:val="20"/>
          <w:szCs w:val="20"/>
        </w:rPr>
        <w:t>–</w:t>
      </w:r>
      <w:r w:rsidR="007F73AC" w:rsidRPr="007F73AC">
        <w:rPr>
          <w:rFonts w:asciiTheme="majorBidi" w:hAnsiTheme="majorBidi" w:cs="TimesNewRoman"/>
          <w:sz w:val="20"/>
          <w:szCs w:val="20"/>
        </w:rPr>
        <w:t xml:space="preserve"> </w:t>
      </w:r>
      <w:proofErr w:type="spellStart"/>
      <w:r>
        <w:rPr>
          <w:rFonts w:asciiTheme="majorBidi" w:hAnsiTheme="majorBidi"/>
          <w:b/>
          <w:bCs/>
          <w:sz w:val="20"/>
          <w:szCs w:val="20"/>
        </w:rPr>
        <w:t>Khodayar</w:t>
      </w:r>
      <w:proofErr w:type="spellEnd"/>
      <w:r>
        <w:rPr>
          <w:rFonts w:asciiTheme="majorBidi" w:hAnsiTheme="majorBidi"/>
          <w:b/>
          <w:bCs/>
          <w:sz w:val="20"/>
          <w:szCs w:val="20"/>
        </w:rPr>
        <w:t xml:space="preserve"> </w:t>
      </w:r>
      <w:proofErr w:type="spellStart"/>
      <w:r w:rsidR="007F73AC" w:rsidRPr="007F73AC">
        <w:rPr>
          <w:rFonts w:asciiTheme="majorBidi" w:hAnsiTheme="majorBidi"/>
          <w:b/>
          <w:bCs/>
          <w:sz w:val="20"/>
          <w:szCs w:val="20"/>
        </w:rPr>
        <w:t>Oshvandi</w:t>
      </w:r>
      <w:proofErr w:type="spellEnd"/>
      <w:r w:rsidR="007F73AC" w:rsidRPr="007F73AC">
        <w:rPr>
          <w:rFonts w:asciiTheme="majorBidi" w:hAnsiTheme="majorBidi"/>
          <w:b/>
          <w:bCs/>
          <w:sz w:val="13"/>
          <w:szCs w:val="13"/>
        </w:rPr>
        <w:t xml:space="preserve"> </w:t>
      </w:r>
      <w:r w:rsidR="007F73AC" w:rsidRPr="007F73AC">
        <w:rPr>
          <w:rFonts w:asciiTheme="majorBidi" w:hAnsiTheme="majorBidi" w:cs="TimesNewRoman"/>
          <w:sz w:val="20"/>
          <w:szCs w:val="20"/>
        </w:rPr>
        <w:t>(</w:t>
      </w:r>
      <w:proofErr w:type="spellStart"/>
      <w:r w:rsidR="007F73AC" w:rsidRPr="007F73AC">
        <w:rPr>
          <w:rFonts w:asciiTheme="majorBidi" w:hAnsiTheme="majorBidi" w:cs="TimesNewRoman"/>
          <w:sz w:val="20"/>
          <w:szCs w:val="20"/>
        </w:rPr>
        <w:t>Ph.D</w:t>
      </w:r>
      <w:proofErr w:type="spellEnd"/>
      <w:r w:rsidR="007F73AC" w:rsidRPr="007F73AC">
        <w:rPr>
          <w:rFonts w:asciiTheme="majorBidi" w:hAnsiTheme="majorBidi" w:cs="TimesNewRoman"/>
          <w:sz w:val="20"/>
          <w:szCs w:val="20"/>
        </w:rPr>
        <w:t>).</w:t>
      </w:r>
    </w:p>
    <w:p w:rsidR="00263ACB" w:rsidRPr="00263ACB" w:rsidRDefault="00263ACB" w:rsidP="00263ACB">
      <w:pPr>
        <w:autoSpaceDE w:val="0"/>
        <w:autoSpaceDN w:val="0"/>
        <w:bidi w:val="0"/>
        <w:adjustRightInd w:val="0"/>
        <w:spacing w:after="0" w:line="240" w:lineRule="auto"/>
        <w:rPr>
          <w:rFonts w:asciiTheme="majorBidi" w:hAnsiTheme="majorBidi" w:cs="TimesNewRoman"/>
          <w:sz w:val="20"/>
          <w:szCs w:val="20"/>
        </w:rPr>
      </w:pPr>
      <w:r w:rsidRPr="00263ACB">
        <w:rPr>
          <w:rFonts w:asciiTheme="majorBidi" w:hAnsiTheme="majorBidi" w:cs="TimesNewRoman"/>
          <w:sz w:val="20"/>
          <w:szCs w:val="20"/>
        </w:rPr>
        <w:t xml:space="preserve">1 </w:t>
      </w:r>
      <w:r>
        <w:rPr>
          <w:rFonts w:asciiTheme="majorBidi" w:hAnsiTheme="majorBidi" w:cs="TimesNewRoman"/>
          <w:sz w:val="20"/>
          <w:szCs w:val="20"/>
        </w:rPr>
        <w:t>–</w:t>
      </w:r>
      <w:r w:rsidRPr="00263ACB">
        <w:rPr>
          <w:rFonts w:asciiTheme="majorBidi" w:hAnsiTheme="majorBidi" w:cs="TimesNewRoman"/>
          <w:sz w:val="20"/>
          <w:szCs w:val="20"/>
        </w:rPr>
        <w:t xml:space="preserve"> </w:t>
      </w:r>
      <w:r>
        <w:rPr>
          <w:rFonts w:asciiTheme="majorBidi" w:hAnsiTheme="majorBidi" w:cs="TimesNewRoman"/>
          <w:sz w:val="20"/>
          <w:szCs w:val="20"/>
        </w:rPr>
        <w:t xml:space="preserve">Associate Prof. </w:t>
      </w:r>
      <w:r w:rsidRPr="00263ACB">
        <w:rPr>
          <w:rFonts w:asciiTheme="majorBidi" w:hAnsiTheme="majorBidi" w:cs="TimesNewRoman"/>
          <w:sz w:val="20"/>
          <w:szCs w:val="20"/>
        </w:rPr>
        <w:t>Mother and Child Care Research Center, Dept. of Medical Surgical Nursing, School of Nursing and</w:t>
      </w:r>
      <w:r>
        <w:rPr>
          <w:rFonts w:asciiTheme="majorBidi" w:hAnsiTheme="majorBidi" w:cs="TimesNewRoman"/>
          <w:sz w:val="20"/>
          <w:szCs w:val="20"/>
        </w:rPr>
        <w:t xml:space="preserve"> </w:t>
      </w:r>
      <w:r w:rsidRPr="00263ACB">
        <w:rPr>
          <w:rFonts w:asciiTheme="majorBidi" w:hAnsiTheme="majorBidi" w:cs="TimesNewRoman"/>
          <w:sz w:val="20"/>
          <w:szCs w:val="20"/>
        </w:rPr>
        <w:t>Midwifery, Hamadan University of Medical Sciences, Hamadan, Iran</w:t>
      </w:r>
    </w:p>
    <w:p w:rsidR="00263ACB" w:rsidRPr="00263ACB" w:rsidRDefault="00263ACB" w:rsidP="00263ACB">
      <w:pPr>
        <w:autoSpaceDE w:val="0"/>
        <w:autoSpaceDN w:val="0"/>
        <w:bidi w:val="0"/>
        <w:adjustRightInd w:val="0"/>
        <w:spacing w:after="0" w:line="240" w:lineRule="auto"/>
        <w:rPr>
          <w:rFonts w:asciiTheme="majorBidi" w:hAnsiTheme="majorBidi" w:cs="TimesNewRoman"/>
          <w:sz w:val="20"/>
          <w:szCs w:val="20"/>
        </w:rPr>
      </w:pPr>
      <w:r w:rsidRPr="00263ACB">
        <w:rPr>
          <w:rFonts w:asciiTheme="majorBidi" w:hAnsiTheme="majorBidi" w:cs="TimesNewRoman"/>
          <w:sz w:val="20"/>
          <w:szCs w:val="20"/>
        </w:rPr>
        <w:t xml:space="preserve">2 </w:t>
      </w:r>
      <w:r>
        <w:rPr>
          <w:rFonts w:asciiTheme="majorBidi" w:hAnsiTheme="majorBidi" w:cs="TimesNewRoman"/>
          <w:sz w:val="20"/>
          <w:szCs w:val="20"/>
        </w:rPr>
        <w:t>–</w:t>
      </w:r>
      <w:r w:rsidRPr="00263ACB">
        <w:rPr>
          <w:rFonts w:asciiTheme="majorBidi" w:hAnsiTheme="majorBidi" w:cs="TimesNewRoman"/>
          <w:sz w:val="20"/>
          <w:szCs w:val="20"/>
        </w:rPr>
        <w:t xml:space="preserve"> </w:t>
      </w:r>
      <w:r>
        <w:rPr>
          <w:rFonts w:asciiTheme="majorBidi" w:hAnsiTheme="majorBidi" w:cs="TimesNewRoman"/>
          <w:sz w:val="20"/>
          <w:szCs w:val="20"/>
        </w:rPr>
        <w:t xml:space="preserve">Faculty Member,  </w:t>
      </w:r>
      <w:r w:rsidRPr="00263ACB">
        <w:rPr>
          <w:rFonts w:asciiTheme="majorBidi" w:hAnsiTheme="majorBidi" w:cs="TimesNewRoman"/>
          <w:sz w:val="20"/>
          <w:szCs w:val="20"/>
        </w:rPr>
        <w:t>Mother and Child Care Research Center, Dept. of M</w:t>
      </w:r>
      <w:r>
        <w:rPr>
          <w:rFonts w:asciiTheme="majorBidi" w:hAnsiTheme="majorBidi" w:cs="TimesNewRoman"/>
          <w:sz w:val="20"/>
          <w:szCs w:val="20"/>
        </w:rPr>
        <w:t>idwifery</w:t>
      </w:r>
      <w:r w:rsidRPr="00263ACB">
        <w:rPr>
          <w:rFonts w:asciiTheme="majorBidi" w:hAnsiTheme="majorBidi" w:cs="TimesNewRoman"/>
          <w:sz w:val="20"/>
          <w:szCs w:val="20"/>
        </w:rPr>
        <w:t>, School of</w:t>
      </w:r>
      <w:r>
        <w:rPr>
          <w:rFonts w:asciiTheme="majorBidi" w:hAnsiTheme="majorBidi" w:cs="TimesNewRoman"/>
          <w:sz w:val="20"/>
          <w:szCs w:val="20"/>
        </w:rPr>
        <w:t xml:space="preserve"> </w:t>
      </w:r>
      <w:r w:rsidRPr="00263ACB">
        <w:rPr>
          <w:rFonts w:asciiTheme="majorBidi" w:hAnsiTheme="majorBidi" w:cs="TimesNewRoman"/>
          <w:sz w:val="20"/>
          <w:szCs w:val="20"/>
        </w:rPr>
        <w:t>Nursing and Midwifery, Hamadan University of Medical Sciences, Hamadan, Iran</w:t>
      </w:r>
    </w:p>
    <w:p w:rsidR="00263ACB" w:rsidRPr="00263ACB" w:rsidRDefault="00263ACB" w:rsidP="00263ACB">
      <w:pPr>
        <w:autoSpaceDE w:val="0"/>
        <w:autoSpaceDN w:val="0"/>
        <w:bidi w:val="0"/>
        <w:adjustRightInd w:val="0"/>
        <w:spacing w:after="0" w:line="240" w:lineRule="auto"/>
        <w:rPr>
          <w:rFonts w:asciiTheme="majorBidi" w:hAnsiTheme="majorBidi" w:cs="TimesNewRoman"/>
          <w:sz w:val="20"/>
          <w:szCs w:val="20"/>
        </w:rPr>
      </w:pPr>
      <w:r w:rsidRPr="00263ACB">
        <w:rPr>
          <w:rFonts w:asciiTheme="majorBidi" w:hAnsiTheme="majorBidi" w:cs="TimesNewRoman"/>
          <w:sz w:val="20"/>
          <w:szCs w:val="20"/>
        </w:rPr>
        <w:t xml:space="preserve">3 - </w:t>
      </w:r>
      <w:r>
        <w:rPr>
          <w:rFonts w:asciiTheme="majorBidi" w:hAnsiTheme="majorBidi" w:cs="TimesNewRoman"/>
          <w:sz w:val="20"/>
          <w:szCs w:val="20"/>
        </w:rPr>
        <w:t xml:space="preserve">Associate Prof. </w:t>
      </w:r>
      <w:r w:rsidRPr="00263ACB">
        <w:rPr>
          <w:rFonts w:asciiTheme="majorBidi" w:hAnsiTheme="majorBidi" w:cs="TimesNewRoman"/>
          <w:sz w:val="20"/>
          <w:szCs w:val="20"/>
        </w:rPr>
        <w:t>Mother and Child Care Research Center, Dept. of Medical Surgical Nursing, School of Nursing and</w:t>
      </w:r>
      <w:r>
        <w:rPr>
          <w:rFonts w:asciiTheme="majorBidi" w:hAnsiTheme="majorBidi" w:cs="TimesNewRoman"/>
          <w:sz w:val="20"/>
          <w:szCs w:val="20"/>
        </w:rPr>
        <w:t xml:space="preserve"> </w:t>
      </w:r>
      <w:r w:rsidRPr="00263ACB">
        <w:rPr>
          <w:rFonts w:asciiTheme="majorBidi" w:hAnsiTheme="majorBidi" w:cs="TimesNewRoman"/>
          <w:sz w:val="20"/>
          <w:szCs w:val="20"/>
        </w:rPr>
        <w:t>Midwifery, Hamadan University of Medical Sciences, Hamadan, Iran</w:t>
      </w:r>
    </w:p>
    <w:p w:rsidR="007F73AC" w:rsidRPr="007F73AC" w:rsidRDefault="007F73AC" w:rsidP="007F73AC">
      <w:pPr>
        <w:autoSpaceDE w:val="0"/>
        <w:autoSpaceDN w:val="0"/>
        <w:bidi w:val="0"/>
        <w:adjustRightInd w:val="0"/>
        <w:spacing w:after="0" w:line="240" w:lineRule="auto"/>
        <w:rPr>
          <w:rFonts w:asciiTheme="majorBidi" w:hAnsiTheme="majorBidi"/>
          <w:b/>
          <w:bCs/>
          <w:sz w:val="32"/>
          <w:szCs w:val="32"/>
        </w:rPr>
      </w:pPr>
      <w:r w:rsidRPr="007F73AC">
        <w:rPr>
          <w:rFonts w:asciiTheme="majorBidi" w:hAnsiTheme="majorBidi"/>
          <w:b/>
          <w:bCs/>
          <w:sz w:val="32"/>
          <w:szCs w:val="32"/>
        </w:rPr>
        <w:t>Abstract</w:t>
      </w:r>
    </w:p>
    <w:p w:rsidR="007F73AC" w:rsidRPr="007F73AC" w:rsidRDefault="007F73AC" w:rsidP="007F73AC">
      <w:pPr>
        <w:autoSpaceDE w:val="0"/>
        <w:autoSpaceDN w:val="0"/>
        <w:bidi w:val="0"/>
        <w:adjustRightInd w:val="0"/>
        <w:spacing w:after="0" w:line="240" w:lineRule="auto"/>
        <w:rPr>
          <w:rFonts w:asciiTheme="majorBidi" w:hAnsiTheme="majorBidi" w:cs="TimesNewRoman"/>
          <w:sz w:val="24"/>
          <w:szCs w:val="24"/>
        </w:rPr>
      </w:pPr>
      <w:r w:rsidRPr="007F73AC">
        <w:rPr>
          <w:rFonts w:asciiTheme="majorBidi" w:hAnsiTheme="majorBidi"/>
          <w:b/>
          <w:bCs/>
          <w:sz w:val="24"/>
          <w:szCs w:val="24"/>
        </w:rPr>
        <w:t xml:space="preserve">Introduction: </w:t>
      </w:r>
      <w:r w:rsidRPr="007F73AC">
        <w:rPr>
          <w:rFonts w:asciiTheme="majorBidi" w:hAnsiTheme="majorBidi" w:cs="TimesNewRoman"/>
          <w:sz w:val="24"/>
          <w:szCs w:val="24"/>
        </w:rPr>
        <w:t>The impact of clinical education in midwifery students’ skill development and preparation has long been recognized. The students’ experiences of these fields, especially the students who are employed in the new strategies, are very important and should be considered. Therefore, the aim of this study was to explore the midwifery students’ experiences role-playing as a teaching strategy in learning group counseling and training of the clients.</w:t>
      </w:r>
    </w:p>
    <w:p w:rsidR="007F73AC" w:rsidRPr="007F73AC" w:rsidRDefault="007F73AC" w:rsidP="007F73AC">
      <w:pPr>
        <w:autoSpaceDE w:val="0"/>
        <w:autoSpaceDN w:val="0"/>
        <w:bidi w:val="0"/>
        <w:adjustRightInd w:val="0"/>
        <w:spacing w:after="0" w:line="240" w:lineRule="auto"/>
        <w:rPr>
          <w:rFonts w:asciiTheme="majorBidi" w:hAnsiTheme="majorBidi" w:cs="TimesNewRoman"/>
          <w:sz w:val="24"/>
          <w:szCs w:val="24"/>
        </w:rPr>
      </w:pPr>
      <w:r w:rsidRPr="007F73AC">
        <w:rPr>
          <w:rFonts w:asciiTheme="majorBidi" w:hAnsiTheme="majorBidi"/>
          <w:b/>
          <w:bCs/>
          <w:sz w:val="24"/>
          <w:szCs w:val="24"/>
        </w:rPr>
        <w:t xml:space="preserve">Method: </w:t>
      </w:r>
      <w:r w:rsidRPr="007F73AC">
        <w:rPr>
          <w:rFonts w:asciiTheme="majorBidi" w:hAnsiTheme="majorBidi" w:cs="TimesNewRoman"/>
          <w:sz w:val="24"/>
          <w:szCs w:val="24"/>
        </w:rPr>
        <w:t>This study was conducted via qualitative content analysis. All midwifery students (n=16) using role playing were enrolled in the study after a purposive sampling. Data collected via 16 semi-structured individual interviews, four focus group interviews, observations and field notes. The average duration of the individual and focus group interviews were respectively 25.3(±8.7) and 48.7(12.2±) minutes. The conventional content analysis was simultaneously done with data gathering.</w:t>
      </w:r>
    </w:p>
    <w:p w:rsidR="007F73AC" w:rsidRPr="007F73AC" w:rsidRDefault="007F73AC" w:rsidP="007F73AC">
      <w:pPr>
        <w:autoSpaceDE w:val="0"/>
        <w:autoSpaceDN w:val="0"/>
        <w:bidi w:val="0"/>
        <w:adjustRightInd w:val="0"/>
        <w:spacing w:after="0" w:line="240" w:lineRule="auto"/>
        <w:rPr>
          <w:rFonts w:asciiTheme="majorBidi" w:hAnsiTheme="majorBidi" w:cs="TimesNewRoman"/>
          <w:sz w:val="24"/>
          <w:szCs w:val="24"/>
        </w:rPr>
      </w:pPr>
      <w:r w:rsidRPr="007F73AC">
        <w:rPr>
          <w:rFonts w:asciiTheme="majorBidi" w:hAnsiTheme="majorBidi"/>
          <w:b/>
          <w:bCs/>
          <w:sz w:val="24"/>
          <w:szCs w:val="24"/>
        </w:rPr>
        <w:t xml:space="preserve">Results: </w:t>
      </w:r>
      <w:r w:rsidRPr="007F73AC">
        <w:rPr>
          <w:rFonts w:asciiTheme="majorBidi" w:hAnsiTheme="majorBidi" w:cs="TimesNewRoman"/>
          <w:sz w:val="24"/>
          <w:szCs w:val="24"/>
        </w:rPr>
        <w:t>Mean ages of the students were 21.3(± .81) years. All of them were at fifth semester course of midwifery and had no prior work experience. Qualitative analysis of the interview transcripts, observations and field notes, brought about three themes “play the role”, "execution the role” and “transition from the student to professional person”. The first theme had three categories: “role taking”, “theory using opportunity” and “role significance”. The second consisted of the “primary nervousness”, “mastery” and “fulfillment” categories. The latter had “qualified practice” and “proficient future”.</w:t>
      </w:r>
    </w:p>
    <w:p w:rsidR="007F73AC" w:rsidRPr="007F73AC" w:rsidRDefault="007F73AC" w:rsidP="007F73AC">
      <w:pPr>
        <w:autoSpaceDE w:val="0"/>
        <w:autoSpaceDN w:val="0"/>
        <w:bidi w:val="0"/>
        <w:adjustRightInd w:val="0"/>
        <w:spacing w:after="0" w:line="240" w:lineRule="auto"/>
        <w:rPr>
          <w:rFonts w:asciiTheme="majorBidi" w:hAnsiTheme="majorBidi" w:cs="TimesNewRoman"/>
          <w:sz w:val="24"/>
          <w:szCs w:val="24"/>
        </w:rPr>
      </w:pPr>
      <w:r w:rsidRPr="007F73AC">
        <w:rPr>
          <w:rFonts w:asciiTheme="majorBidi" w:hAnsiTheme="majorBidi"/>
          <w:b/>
          <w:bCs/>
          <w:sz w:val="24"/>
          <w:szCs w:val="24"/>
        </w:rPr>
        <w:t xml:space="preserve">Conclusion: </w:t>
      </w:r>
      <w:r w:rsidRPr="007F73AC">
        <w:rPr>
          <w:rFonts w:asciiTheme="majorBidi" w:hAnsiTheme="majorBidi" w:cs="TimesNewRoman"/>
          <w:sz w:val="24"/>
          <w:szCs w:val="24"/>
        </w:rPr>
        <w:t>By using role playing as a teaching strategy, students can “play the imaginary role”, "implement the real role” and “transform from student to a professional person”.</w:t>
      </w:r>
    </w:p>
    <w:p w:rsidR="001665AB" w:rsidRPr="007F73AC" w:rsidRDefault="007F73AC" w:rsidP="00815947">
      <w:pPr>
        <w:autoSpaceDE w:val="0"/>
        <w:autoSpaceDN w:val="0"/>
        <w:bidi w:val="0"/>
        <w:adjustRightInd w:val="0"/>
        <w:spacing w:after="0" w:line="240" w:lineRule="auto"/>
        <w:rPr>
          <w:rFonts w:asciiTheme="majorBidi" w:hAnsiTheme="majorBidi" w:cs="Arial Unicode MS"/>
        </w:rPr>
      </w:pPr>
      <w:r w:rsidRPr="007F73AC">
        <w:rPr>
          <w:rFonts w:asciiTheme="majorBidi" w:hAnsiTheme="majorBidi"/>
          <w:b/>
          <w:bCs/>
          <w:sz w:val="24"/>
          <w:szCs w:val="24"/>
        </w:rPr>
        <w:t xml:space="preserve">Key words: </w:t>
      </w:r>
      <w:r w:rsidRPr="007F73AC">
        <w:rPr>
          <w:rFonts w:asciiTheme="majorBidi" w:hAnsiTheme="majorBidi" w:cs="TimesNewRoman"/>
          <w:sz w:val="24"/>
          <w:szCs w:val="24"/>
        </w:rPr>
        <w:t>Internship, role playing, students, experience, qualitative research</w:t>
      </w:r>
    </w:p>
    <w:sectPr w:rsidR="001665AB" w:rsidRPr="007F73AC" w:rsidSect="005B3625">
      <w:pgSz w:w="11906" w:h="16838"/>
      <w:pgMar w:top="1440" w:right="1440" w:bottom="1440" w:left="1440" w:header="708" w:footer="708" w:gutter="0"/>
      <w:cols w:space="708"/>
      <w:bidi/>
      <w:rtlGutter/>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Arial">
    <w:panose1 w:val="020B0704020202090204"/>
    <w:charset w:val="00"/>
    <w:family w:val="swiss"/>
    <w:pitch w:val="variable"/>
    <w:sig w:usb0="20000A87" w:usb1="00000000" w:usb2="00000000" w:usb3="00000000" w:csb0="000001BF" w:csb1="00000000"/>
  </w:font>
  <w:font w:name="Times New Roman">
    <w:altName w:val="Angsana New"/>
    <w:panose1 w:val="02020703060505090304"/>
    <w:charset w:val="00"/>
    <w:family w:val="roman"/>
    <w:notTrueType/>
    <w:pitch w:val="variable"/>
    <w:sig w:usb0="00000003" w:usb1="00000000" w:usb2="00000000" w:usb3="00000000" w:csb0="00000001" w:csb1="00000000"/>
  </w:font>
  <w:font w:name="TimesNewRoman">
    <w:altName w:val="MS Mincho"/>
    <w:panose1 w:val="00000000000000000000"/>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grammar="clean"/>
  <w:defaultTabStop w:val="720"/>
  <w:characterSpacingControl w:val="doNotCompress"/>
  <w:compat/>
  <w:rsids>
    <w:rsidRoot w:val="007F73AC"/>
    <w:rsid w:val="00263ACB"/>
    <w:rsid w:val="005B3625"/>
    <w:rsid w:val="007F73AC"/>
    <w:rsid w:val="00815947"/>
    <w:rsid w:val="009F50ED"/>
    <w:rsid w:val="00A30AA3"/>
    <w:rsid w:val="00B145F9"/>
    <w:rsid w:val="00CB7694"/>
    <w:rsid w:val="00E55DF6"/>
  </w:rsids>
  <m:mathPr>
    <m:mathFont m:val="Cambria Math"/>
    <m:brkBin m:val="before"/>
    <m:brkBinSub m:val="--"/>
    <m:smallFrac m:val="off"/>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45F9"/>
    <w:pPr>
      <w:bidi/>
    </w:pPr>
    <w:rPr>
      <w:rFonts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377</Words>
  <Characters>2152</Characters>
  <Application>Microsoft Office Word</Application>
  <DocSecurity>0</DocSecurity>
  <Lines>17</Lines>
  <Paragraphs>5</Paragraphs>
  <ScaleCrop>false</ScaleCrop>
  <Company/>
  <LinksUpToDate>false</LinksUpToDate>
  <CharactersWithSpaces>2524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newcasea1</dc:creator>
  <cp:keywords/>
  <dc:description/>
  <cp:lastModifiedBy>newcasea1</cp:lastModifiedBy>
  <cp:revision>5</cp:revision>
  <dcterms:created xsi:type="dcterms:W3CDTF">2016-10-19T10:05:00Z</dcterms:created>
  <dcterms:modified xsi:type="dcterms:W3CDTF">2016-10-19T10:11:00Z</dcterms:modified>
</cp:coreProperties>
</file>