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rPr>
          <w:lang w:val="en-US"/>
        </w:rPr>
      </w:pPr>
      <w:r>
        <w:rPr>
          <w:lang w:val="en-US"/>
        </w:rPr>
        <w:t>Title of Proposal</w:t>
      </w:r>
    </w:p>
    <w:p>
      <w:pPr>
        <w:rPr>
          <w:lang w:val="en-US"/>
        </w:rPr>
      </w:pPr>
    </w:p>
    <w:p>
      <w:pPr>
        <w:rPr>
          <w:lang w:val="en-US"/>
        </w:rPr>
      </w:pPr>
      <w:r>
        <w:rPr>
          <w:rFonts w:hint="default"/>
          <w:lang w:val="en-US"/>
        </w:rPr>
        <w:t>Identification of epitope mutations in HBV mono infection and HBV/HDV Co infection</w:t>
      </w:r>
    </w:p>
    <w:p>
      <w:pPr>
        <w:rPr>
          <w:lang w:val="en-US"/>
        </w:rPr>
      </w:pPr>
    </w:p>
    <w:p>
      <w:pPr>
        <w:rPr>
          <w:lang w:val="en-US"/>
        </w:rPr>
      </w:pPr>
    </w:p>
    <w:p>
      <w:pPr>
        <w:rPr/>
      </w:pPr>
      <w:r>
        <w:t xml:space="preserve">ABSTRACT </w:t>
      </w:r>
      <w:r>
        <w:rPr>
          <w:rFonts w:hint="default"/>
        </w:rPr>
        <w:t> </w:t>
      </w:r>
    </w:p>
    <w:p>
      <w:pPr>
        <w:rPr>
          <w:rFonts w:hint="default"/>
        </w:rPr>
      </w:pPr>
    </w:p>
    <w:p>
      <w:pPr>
        <w:rPr/>
      </w:pPr>
      <w:r>
        <w:rPr>
          <w:rFonts w:hint="default"/>
        </w:rPr>
        <w:t>Background :</w:t>
      </w:r>
    </w:p>
    <w:p>
      <w:pPr>
        <w:rPr>
          <w:rFonts w:hint="default"/>
        </w:rPr>
      </w:pPr>
    </w:p>
    <w:p>
      <w:pPr>
        <w:rPr/>
      </w:pPr>
      <w:r>
        <w:rPr>
          <w:rFonts w:hint="default"/>
        </w:rPr>
        <w:t>Hepatitis B is one of the major cause of hepatocellular carcinoma, where approximately 60-80% of HCC cases are due to HBV. Despite of the presence of therapy and vaccine, HBV still has high prevalence and low treatment rate, which might be due to mutation in HBSAg. HBSAg mutations can results in diversification of antibody as well as T cell epitopes, which affect immune recognition and clearance of virus.HBV co infection with HCV, HDV and HIV are very common and shows different modes of chronicity. HDV co-infects with HBV as it requires HBSAg for its replication. HBV/HDV co-infection leads to more severe fulminant hepatitis compared to HBV monoinfection. In this study, we focus on HBSAg mutations in HBV monoinfected and HBV/HDV co infected patients and its effect on CD8 and CD4 epitope generation.</w:t>
      </w:r>
    </w:p>
    <w:p>
      <w:pPr>
        <w:rPr>
          <w:rFonts w:hint="default"/>
        </w:rPr>
      </w:pPr>
    </w:p>
    <w:p>
      <w:pPr>
        <w:rPr/>
      </w:pPr>
      <w:r>
        <w:rPr>
          <w:rFonts w:hint="default"/>
        </w:rPr>
        <w:t>Objective:</w:t>
      </w:r>
    </w:p>
    <w:p>
      <w:pPr>
        <w:rPr>
          <w:rFonts w:hint="default"/>
        </w:rPr>
      </w:pPr>
    </w:p>
    <w:p>
      <w:pPr>
        <w:rPr/>
      </w:pPr>
      <w:r>
        <w:rPr>
          <w:rFonts w:hint="default"/>
        </w:rPr>
        <w:t>In this study, we will investigate whether presence of HDV in the environment of HBV could alter mutation patterns of HBV “surface” antigen (</w:t>
      </w:r>
      <w:r>
        <w:rPr/>
        <w:fldChar w:fldCharType="begin"/>
      </w:r>
      <w:r>
        <w:instrText xml:space="preserve"> HYPERLINK "https://docs.google.com/document/d/14rl3_O5pSEgmzsnYAXB-5sWB0nmUjCvP0xUcbxLwhfo/edit" \l "heading=h.gjdgxs" </w:instrText>
      </w:r>
      <w:r>
        <w:rPr/>
        <w:fldChar w:fldCharType="separate"/>
      </w:r>
      <w:r>
        <w:rPr>
          <w:rFonts w:hint="default"/>
        </w:rPr>
        <w:t>1</w:t>
      </w:r>
      <w:r>
        <w:rPr/>
        <w:fldChar w:fldCharType="end"/>
      </w:r>
      <w:r>
        <w:rPr>
          <w:rFonts w:hint="default"/>
        </w:rPr>
        <w:t xml:space="preserve">)   and resulting epitopes. </w:t>
      </w:r>
    </w:p>
    <w:p>
      <w:pPr>
        <w:rPr/>
      </w:pPr>
    </w:p>
    <w:p>
      <w:pPr>
        <w:rPr>
          <w:rFonts w:hint="default"/>
        </w:rPr>
      </w:pPr>
    </w:p>
    <w:p>
      <w:pPr>
        <w:rPr/>
      </w:pPr>
      <w:r>
        <w:rPr>
          <w:rFonts w:hint="default"/>
        </w:rPr>
        <w:t>Methodology</w:t>
      </w:r>
    </w:p>
    <w:p>
      <w:pPr>
        <w:rPr>
          <w:rFonts w:hint="default"/>
        </w:rPr>
      </w:pPr>
    </w:p>
    <w:p>
      <w:pPr>
        <w:rPr/>
      </w:pPr>
      <w:r>
        <w:rPr>
          <w:rFonts w:hint="default"/>
        </w:rPr>
        <w:t>In the first step, we collect blood from mono and co infected patient. Then DNA extraction will be done for PCR and will be sent for sequencing. Mutational analysis of HBSAg sequences from mono and co infected patient will be performed using MEGA 6.0 software. Similarly, HBSAg sequences will be translated into protein sequences using ExPasy tool and subsequently used to identify CTL epitopes in both samples types using CTL Pred software.</w:t>
      </w:r>
    </w:p>
    <w:p>
      <w:pPr>
        <w:rPr/>
      </w:pPr>
    </w:p>
    <w:p>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 w:name="Arial Narrow">
    <w:panose1 w:val="020B0606020202030204"/>
    <w:charset w:val="00"/>
    <w:family w:val="auto"/>
    <w:pitch w:val="default"/>
    <w:sig w:usb0="00000287" w:usb1="00000800" w:usb2="00000000" w:usb3="00000000" w:csb0="2000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0E5"/>
    <w:rsid w:val="00C510E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uiPriority w:val="0"/>
    <w:pPr>
      <w:spacing w:before="0" w:beforeAutospacing="1" w:after="0" w:afterAutospacing="1"/>
      <w:ind w:left="0" w:right="0"/>
      <w:jc w:val="left"/>
    </w:pPr>
    <w:rPr>
      <w:kern w:val="0"/>
      <w:sz w:val="24"/>
      <w:szCs w:val="24"/>
      <w:lang w:val="en-US" w:eastAsia="zh-CN" w:bidi="ar"/>
    </w:r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Office_10.2.0.6020_F1E327BC-269C-435d-A152-05C5408002CA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2018-05-10T15:15:00Z</dcterms:created>
  <dc:creator>Muhammad Nouman Mughal</dc:creator>
  <cp:lastModifiedBy>Muhammad Nouman Mughal</cp:lastModifiedBy>
  <dcterms:modified xsi:type="dcterms:W3CDTF">2018-05-10T15:17:12Z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ies>
</file>