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853" w:rsidRPr="00EC5853" w:rsidRDefault="001A341F" w:rsidP="00EC5853">
      <w:pPr>
        <w:pStyle w:val="Standard"/>
        <w:spacing w:after="0"/>
        <w:rPr>
          <w:rFonts w:ascii="Arial" w:eastAsia="Times New Roman" w:hAnsi="Arial" w:cs="Arial"/>
          <w:b/>
          <w:bCs/>
          <w:color w:val="0070C0"/>
          <w:sz w:val="36"/>
          <w:szCs w:val="36"/>
          <w:lang w:val="en-GB"/>
        </w:rPr>
      </w:pPr>
      <w:r w:rsidRPr="001A341F">
        <w:rPr>
          <w:rFonts w:ascii="Arial" w:hAnsi="Arial" w:cs="Arial"/>
          <w:b/>
          <w:color w:val="0070C0"/>
          <w:sz w:val="36"/>
          <w:szCs w:val="36"/>
        </w:rPr>
        <w:t xml:space="preserve">T2 magnetic resonance technology in </w:t>
      </w:r>
      <w:r w:rsidRPr="001A341F">
        <w:rPr>
          <w:rFonts w:ascii="Arial" w:hAnsi="Arial" w:cs="Arial"/>
          <w:b/>
          <w:color w:val="0070C0"/>
          <w:sz w:val="36"/>
          <w:szCs w:val="36"/>
          <w:lang w:val="en-NZ"/>
        </w:rPr>
        <w:t>microbiological</w:t>
      </w:r>
      <w:r w:rsidRPr="001A341F">
        <w:rPr>
          <w:rFonts w:ascii="Arial" w:hAnsi="Arial" w:cs="Arial"/>
          <w:b/>
          <w:color w:val="0070C0"/>
          <w:sz w:val="36"/>
          <w:szCs w:val="36"/>
        </w:rPr>
        <w:t xml:space="preserve"> diagnosis – our experience</w:t>
      </w:r>
      <w:r>
        <w:rPr>
          <w:b/>
        </w:rPr>
        <w:t xml:space="preserve"> </w:t>
      </w:r>
    </w:p>
    <w:p w:rsidR="001A341F" w:rsidRPr="001A341F" w:rsidRDefault="001A341F" w:rsidP="001A341F">
      <w:pPr>
        <w:jc w:val="both"/>
        <w:rPr>
          <w:rFonts w:ascii="Arial" w:hAnsi="Arial" w:cs="Arial"/>
          <w:bCs/>
          <w:color w:val="000000"/>
          <w:sz w:val="20"/>
          <w:szCs w:val="20"/>
        </w:rPr>
      </w:pPr>
      <w:r w:rsidRPr="001A341F">
        <w:rPr>
          <w:rFonts w:ascii="Arial" w:hAnsi="Arial" w:cs="Arial"/>
          <w:bCs/>
          <w:color w:val="000000"/>
          <w:sz w:val="20"/>
          <w:szCs w:val="20"/>
          <w:lang w:val="en-GB"/>
        </w:rPr>
        <w:t xml:space="preserve">Dr Snežana Jovanović, </w:t>
      </w:r>
      <w:r w:rsidRPr="001A341F">
        <w:rPr>
          <w:rFonts w:ascii="Arial" w:hAnsi="Arial" w:cs="Arial"/>
          <w:color w:val="000000"/>
          <w:sz w:val="20"/>
          <w:szCs w:val="20"/>
        </w:rPr>
        <w:t>Department of Microbiology, Clinical Center of Serbia</w:t>
      </w:r>
      <w:r w:rsidRPr="001A341F">
        <w:rPr>
          <w:rFonts w:ascii="Arial" w:hAnsi="Arial" w:cs="Arial"/>
          <w:bCs/>
          <w:color w:val="000000"/>
          <w:sz w:val="20"/>
          <w:szCs w:val="20"/>
        </w:rPr>
        <w:t>, Belgrade, Serbia</w:t>
      </w:r>
    </w:p>
    <w:p w:rsidR="001A341F" w:rsidRPr="001A341F" w:rsidRDefault="001A341F" w:rsidP="001A341F">
      <w:pPr>
        <w:pStyle w:val="Standard"/>
        <w:spacing w:after="0"/>
        <w:jc w:val="both"/>
        <w:rPr>
          <w:rFonts w:ascii="Arial" w:eastAsia="Times New Roman" w:hAnsi="Arial" w:cs="Arial"/>
          <w:bCs/>
          <w:color w:val="000000"/>
          <w:sz w:val="20"/>
          <w:szCs w:val="20"/>
        </w:rPr>
      </w:pPr>
      <w:r w:rsidRPr="001A341F">
        <w:rPr>
          <w:rFonts w:ascii="Arial" w:hAnsi="Arial" w:cs="Arial"/>
          <w:bCs/>
          <w:color w:val="000000"/>
          <w:sz w:val="20"/>
          <w:szCs w:val="20"/>
        </w:rPr>
        <w:t xml:space="preserve">Dr Ivan Palibrk, </w:t>
      </w:r>
      <w:r w:rsidR="00377616" w:rsidRPr="001A341F">
        <w:rPr>
          <w:rFonts w:ascii="Arial" w:hAnsi="Arial" w:cs="Arial"/>
          <w:bCs/>
          <w:color w:val="000000"/>
          <w:sz w:val="20"/>
          <w:szCs w:val="20"/>
        </w:rPr>
        <w:t>Center for anest</w:t>
      </w:r>
      <w:r w:rsidR="00377616">
        <w:rPr>
          <w:rFonts w:ascii="Arial" w:hAnsi="Arial" w:cs="Arial"/>
          <w:bCs/>
          <w:color w:val="000000"/>
          <w:sz w:val="20"/>
          <w:szCs w:val="20"/>
        </w:rPr>
        <w:t>h</w:t>
      </w:r>
      <w:r w:rsidR="00377616" w:rsidRPr="001A341F">
        <w:rPr>
          <w:rFonts w:ascii="Arial" w:hAnsi="Arial" w:cs="Arial"/>
          <w:bCs/>
          <w:color w:val="000000"/>
          <w:sz w:val="20"/>
          <w:szCs w:val="20"/>
        </w:rPr>
        <w:t>esi</w:t>
      </w:r>
      <w:r w:rsidR="00377616">
        <w:rPr>
          <w:rFonts w:ascii="Arial" w:hAnsi="Arial" w:cs="Arial"/>
          <w:bCs/>
          <w:color w:val="000000"/>
          <w:sz w:val="20"/>
          <w:szCs w:val="20"/>
        </w:rPr>
        <w:t>a</w:t>
      </w:r>
      <w:r w:rsidRPr="001A341F">
        <w:rPr>
          <w:rFonts w:ascii="Arial" w:hAnsi="Arial" w:cs="Arial"/>
          <w:bCs/>
          <w:color w:val="000000"/>
          <w:sz w:val="20"/>
          <w:szCs w:val="20"/>
        </w:rPr>
        <w:t xml:space="preserve">, </w:t>
      </w:r>
      <w:r w:rsidRPr="001A341F">
        <w:rPr>
          <w:rFonts w:ascii="Arial" w:eastAsia="Times New Roman" w:hAnsi="Arial" w:cs="Arial"/>
          <w:color w:val="000000"/>
          <w:sz w:val="20"/>
          <w:szCs w:val="20"/>
        </w:rPr>
        <w:t>Clinical Center of Serbia</w:t>
      </w:r>
      <w:r w:rsidRPr="001A341F">
        <w:rPr>
          <w:rFonts w:ascii="Arial" w:eastAsia="Times New Roman" w:hAnsi="Arial" w:cs="Arial"/>
          <w:bCs/>
          <w:color w:val="000000"/>
          <w:sz w:val="20"/>
          <w:szCs w:val="20"/>
        </w:rPr>
        <w:t>,</w:t>
      </w:r>
      <w:r w:rsidRPr="001A341F">
        <w:rPr>
          <w:rFonts w:ascii="Arial" w:hAnsi="Arial" w:cs="Arial"/>
          <w:sz w:val="20"/>
          <w:szCs w:val="20"/>
        </w:rPr>
        <w:t xml:space="preserve"> </w:t>
      </w:r>
      <w:r w:rsidRPr="001A341F">
        <w:rPr>
          <w:rFonts w:ascii="Arial" w:eastAsia="Times New Roman" w:hAnsi="Arial" w:cs="Arial"/>
          <w:sz w:val="20"/>
          <w:szCs w:val="20"/>
        </w:rPr>
        <w:t xml:space="preserve">Medical Faculty, University of Belgrade, </w:t>
      </w:r>
      <w:r w:rsidRPr="001A341F">
        <w:rPr>
          <w:rFonts w:ascii="Arial" w:eastAsia="Times New Roman" w:hAnsi="Arial" w:cs="Arial"/>
          <w:bCs/>
          <w:color w:val="000000"/>
          <w:sz w:val="20"/>
          <w:szCs w:val="20"/>
        </w:rPr>
        <w:t>Belgrade, Serbia</w:t>
      </w:r>
    </w:p>
    <w:p w:rsidR="001A341F" w:rsidRPr="001A341F" w:rsidRDefault="001A341F" w:rsidP="001A341F">
      <w:pPr>
        <w:pStyle w:val="Standard"/>
        <w:spacing w:after="0"/>
        <w:jc w:val="both"/>
        <w:rPr>
          <w:rFonts w:ascii="Arial" w:eastAsia="Times New Roman" w:hAnsi="Arial" w:cs="Arial"/>
          <w:bCs/>
          <w:color w:val="000000"/>
          <w:sz w:val="20"/>
          <w:szCs w:val="20"/>
        </w:rPr>
      </w:pPr>
      <w:r w:rsidRPr="001A341F">
        <w:rPr>
          <w:rFonts w:ascii="Arial" w:eastAsia="Times New Roman" w:hAnsi="Arial" w:cs="Arial"/>
          <w:bCs/>
          <w:color w:val="000000"/>
          <w:sz w:val="20"/>
          <w:szCs w:val="20"/>
        </w:rPr>
        <w:t xml:space="preserve">Dr Jelena Veličković, </w:t>
      </w:r>
      <w:r w:rsidRPr="001A341F">
        <w:rPr>
          <w:rFonts w:ascii="Arial" w:hAnsi="Arial" w:cs="Arial"/>
          <w:bCs/>
          <w:color w:val="000000"/>
          <w:sz w:val="20"/>
          <w:szCs w:val="20"/>
        </w:rPr>
        <w:t>Center for anest</w:t>
      </w:r>
      <w:r w:rsidR="00377616">
        <w:rPr>
          <w:rFonts w:ascii="Arial" w:hAnsi="Arial" w:cs="Arial"/>
          <w:bCs/>
          <w:color w:val="000000"/>
          <w:sz w:val="20"/>
          <w:szCs w:val="20"/>
        </w:rPr>
        <w:t>h</w:t>
      </w:r>
      <w:r w:rsidRPr="001A341F">
        <w:rPr>
          <w:rFonts w:ascii="Arial" w:hAnsi="Arial" w:cs="Arial"/>
          <w:bCs/>
          <w:color w:val="000000"/>
          <w:sz w:val="20"/>
          <w:szCs w:val="20"/>
        </w:rPr>
        <w:t>esi</w:t>
      </w:r>
      <w:r w:rsidR="00377616">
        <w:rPr>
          <w:rFonts w:ascii="Arial" w:hAnsi="Arial" w:cs="Arial"/>
          <w:bCs/>
          <w:color w:val="000000"/>
          <w:sz w:val="20"/>
          <w:szCs w:val="20"/>
        </w:rPr>
        <w:t>a</w:t>
      </w:r>
      <w:r w:rsidRPr="001A341F">
        <w:rPr>
          <w:rFonts w:ascii="Arial" w:hAnsi="Arial" w:cs="Arial"/>
          <w:bCs/>
          <w:color w:val="000000"/>
          <w:sz w:val="20"/>
          <w:szCs w:val="20"/>
        </w:rPr>
        <w:t xml:space="preserve">, </w:t>
      </w:r>
      <w:r w:rsidRPr="001A341F">
        <w:rPr>
          <w:rFonts w:ascii="Arial" w:eastAsia="Times New Roman" w:hAnsi="Arial" w:cs="Arial"/>
          <w:color w:val="000000"/>
          <w:sz w:val="20"/>
          <w:szCs w:val="20"/>
        </w:rPr>
        <w:t>Clinical Center of Serbia</w:t>
      </w:r>
      <w:r w:rsidRPr="001A341F">
        <w:rPr>
          <w:rFonts w:ascii="Arial" w:eastAsia="Times New Roman" w:hAnsi="Arial" w:cs="Arial"/>
          <w:bCs/>
          <w:color w:val="000000"/>
          <w:sz w:val="20"/>
          <w:szCs w:val="20"/>
        </w:rPr>
        <w:t>,</w:t>
      </w:r>
      <w:r w:rsidRPr="001A341F">
        <w:rPr>
          <w:rFonts w:ascii="Arial" w:hAnsi="Arial" w:cs="Arial"/>
          <w:sz w:val="20"/>
          <w:szCs w:val="20"/>
        </w:rPr>
        <w:t xml:space="preserve"> </w:t>
      </w:r>
      <w:r w:rsidRPr="001A341F">
        <w:rPr>
          <w:rFonts w:ascii="Arial" w:eastAsia="Times New Roman" w:hAnsi="Arial" w:cs="Arial"/>
          <w:sz w:val="20"/>
          <w:szCs w:val="20"/>
        </w:rPr>
        <w:t xml:space="preserve">Medical Faculty, University of Belgrade, </w:t>
      </w:r>
      <w:r w:rsidRPr="001A341F">
        <w:rPr>
          <w:rFonts w:ascii="Arial" w:eastAsia="Times New Roman" w:hAnsi="Arial" w:cs="Arial"/>
          <w:bCs/>
          <w:color w:val="000000"/>
          <w:sz w:val="20"/>
          <w:szCs w:val="20"/>
        </w:rPr>
        <w:t>Belgrade, Serbia</w:t>
      </w:r>
    </w:p>
    <w:p w:rsidR="001A341F" w:rsidRPr="001A341F" w:rsidRDefault="001A341F" w:rsidP="001A341F">
      <w:pPr>
        <w:pStyle w:val="Standard"/>
        <w:spacing w:after="0"/>
        <w:jc w:val="both"/>
        <w:rPr>
          <w:rFonts w:ascii="Arial" w:eastAsia="Times New Roman" w:hAnsi="Arial" w:cs="Arial"/>
          <w:bCs/>
          <w:color w:val="000000"/>
          <w:sz w:val="20"/>
          <w:szCs w:val="20"/>
        </w:rPr>
      </w:pPr>
      <w:r w:rsidRPr="001A341F">
        <w:rPr>
          <w:rFonts w:ascii="Arial" w:eastAsia="Times New Roman" w:hAnsi="Arial" w:cs="Arial"/>
          <w:sz w:val="20"/>
          <w:szCs w:val="20"/>
        </w:rPr>
        <w:t>Dr Marija Đukanović,</w:t>
      </w:r>
      <w:r w:rsidR="00AC11BB">
        <w:rPr>
          <w:rFonts w:ascii="Arial" w:eastAsia="Times New Roman" w:hAnsi="Arial" w:cs="Arial"/>
          <w:sz w:val="20"/>
          <w:szCs w:val="20"/>
        </w:rPr>
        <w:t xml:space="preserve"> </w:t>
      </w:r>
      <w:r w:rsidR="00377616" w:rsidRPr="001A341F">
        <w:rPr>
          <w:rFonts w:ascii="Arial" w:hAnsi="Arial" w:cs="Arial"/>
          <w:bCs/>
          <w:color w:val="000000"/>
          <w:sz w:val="20"/>
          <w:szCs w:val="20"/>
        </w:rPr>
        <w:t>Center for anest</w:t>
      </w:r>
      <w:r w:rsidR="00377616">
        <w:rPr>
          <w:rFonts w:ascii="Arial" w:hAnsi="Arial" w:cs="Arial"/>
          <w:bCs/>
          <w:color w:val="000000"/>
          <w:sz w:val="20"/>
          <w:szCs w:val="20"/>
        </w:rPr>
        <w:t>h</w:t>
      </w:r>
      <w:r w:rsidR="00377616" w:rsidRPr="001A341F">
        <w:rPr>
          <w:rFonts w:ascii="Arial" w:hAnsi="Arial" w:cs="Arial"/>
          <w:bCs/>
          <w:color w:val="000000"/>
          <w:sz w:val="20"/>
          <w:szCs w:val="20"/>
        </w:rPr>
        <w:t>esi</w:t>
      </w:r>
      <w:r w:rsidR="00377616">
        <w:rPr>
          <w:rFonts w:ascii="Arial" w:hAnsi="Arial" w:cs="Arial"/>
          <w:bCs/>
          <w:color w:val="000000"/>
          <w:sz w:val="20"/>
          <w:szCs w:val="20"/>
        </w:rPr>
        <w:t>a</w:t>
      </w:r>
      <w:r w:rsidRPr="001A341F">
        <w:rPr>
          <w:rFonts w:ascii="Arial" w:hAnsi="Arial" w:cs="Arial"/>
          <w:bCs/>
          <w:color w:val="000000"/>
          <w:sz w:val="20"/>
          <w:szCs w:val="20"/>
        </w:rPr>
        <w:t xml:space="preserve">, </w:t>
      </w:r>
      <w:r w:rsidRPr="001A341F">
        <w:rPr>
          <w:rFonts w:ascii="Arial" w:eastAsia="Times New Roman" w:hAnsi="Arial" w:cs="Arial"/>
          <w:color w:val="000000"/>
          <w:sz w:val="20"/>
          <w:szCs w:val="20"/>
        </w:rPr>
        <w:t>Clinical Center of Serbia</w:t>
      </w:r>
      <w:r w:rsidRPr="001A341F">
        <w:rPr>
          <w:rFonts w:ascii="Arial" w:eastAsia="Times New Roman" w:hAnsi="Arial" w:cs="Arial"/>
          <w:bCs/>
          <w:color w:val="000000"/>
          <w:sz w:val="20"/>
          <w:szCs w:val="20"/>
        </w:rPr>
        <w:t>,</w:t>
      </w:r>
      <w:r w:rsidRPr="001A341F">
        <w:rPr>
          <w:rFonts w:ascii="Arial" w:hAnsi="Arial" w:cs="Arial"/>
          <w:sz w:val="20"/>
          <w:szCs w:val="20"/>
        </w:rPr>
        <w:t xml:space="preserve"> </w:t>
      </w:r>
      <w:r w:rsidRPr="001A341F">
        <w:rPr>
          <w:rFonts w:ascii="Arial" w:eastAsia="Times New Roman" w:hAnsi="Arial" w:cs="Arial"/>
          <w:sz w:val="20"/>
          <w:szCs w:val="20"/>
        </w:rPr>
        <w:t>Medical Faculty, University of Belgrade,</w:t>
      </w:r>
      <w:r w:rsidR="00AC11BB">
        <w:rPr>
          <w:rFonts w:ascii="Arial" w:eastAsia="Times New Roman" w:hAnsi="Arial" w:cs="Arial"/>
          <w:sz w:val="20"/>
          <w:szCs w:val="20"/>
        </w:rPr>
        <w:t xml:space="preserve"> </w:t>
      </w:r>
      <w:r w:rsidRPr="001A341F">
        <w:rPr>
          <w:rFonts w:ascii="Arial" w:eastAsia="Times New Roman" w:hAnsi="Arial" w:cs="Arial"/>
          <w:bCs/>
          <w:color w:val="000000"/>
          <w:sz w:val="20"/>
          <w:szCs w:val="20"/>
        </w:rPr>
        <w:t>Belgrade, Serbia</w:t>
      </w:r>
    </w:p>
    <w:p w:rsidR="001A341F" w:rsidRPr="001A341F" w:rsidRDefault="001A341F" w:rsidP="001A341F">
      <w:pPr>
        <w:pStyle w:val="Standard"/>
        <w:spacing w:after="0"/>
        <w:jc w:val="both"/>
        <w:rPr>
          <w:rFonts w:ascii="Arial" w:eastAsia="Times New Roman" w:hAnsi="Arial" w:cs="Arial"/>
          <w:bCs/>
          <w:color w:val="000000"/>
          <w:sz w:val="20"/>
          <w:szCs w:val="20"/>
        </w:rPr>
      </w:pPr>
      <w:r w:rsidRPr="001A341F">
        <w:rPr>
          <w:rFonts w:ascii="Arial" w:eastAsia="Times New Roman" w:hAnsi="Arial" w:cs="Arial"/>
          <w:bCs/>
          <w:color w:val="000000"/>
          <w:sz w:val="20"/>
          <w:szCs w:val="20"/>
        </w:rPr>
        <w:t xml:space="preserve">Dr Branka Stošović, </w:t>
      </w:r>
      <w:r w:rsidRPr="001A341F">
        <w:rPr>
          <w:rFonts w:ascii="Arial" w:eastAsia="Times New Roman" w:hAnsi="Arial" w:cs="Arial"/>
          <w:color w:val="000000"/>
          <w:sz w:val="20"/>
          <w:szCs w:val="20"/>
        </w:rPr>
        <w:t>Department of Microbiology, Clinical Center of Serbia</w:t>
      </w:r>
      <w:r w:rsidRPr="001A341F">
        <w:rPr>
          <w:rFonts w:ascii="Arial" w:eastAsia="Times New Roman" w:hAnsi="Arial" w:cs="Arial"/>
          <w:bCs/>
          <w:color w:val="000000"/>
          <w:sz w:val="20"/>
          <w:szCs w:val="20"/>
        </w:rPr>
        <w:t>, Belgrade, Serbia</w:t>
      </w:r>
    </w:p>
    <w:p w:rsidR="001A341F" w:rsidRPr="001A341F" w:rsidRDefault="001A341F" w:rsidP="001A341F">
      <w:pPr>
        <w:pStyle w:val="Standard"/>
        <w:spacing w:after="0"/>
        <w:jc w:val="both"/>
        <w:rPr>
          <w:rFonts w:ascii="Arial" w:eastAsia="Times New Roman" w:hAnsi="Arial" w:cs="Arial"/>
          <w:bCs/>
          <w:color w:val="000000"/>
          <w:sz w:val="20"/>
          <w:szCs w:val="20"/>
        </w:rPr>
      </w:pPr>
      <w:r w:rsidRPr="001A341F">
        <w:rPr>
          <w:rFonts w:ascii="Arial" w:eastAsia="Times New Roman" w:hAnsi="Arial" w:cs="Arial"/>
          <w:bCs/>
          <w:color w:val="000000"/>
          <w:sz w:val="20"/>
          <w:szCs w:val="20"/>
        </w:rPr>
        <w:t>Dr Tanja Tošić,</w:t>
      </w:r>
      <w:r w:rsidRPr="001A341F">
        <w:rPr>
          <w:rFonts w:ascii="Arial" w:eastAsia="Times New Roman" w:hAnsi="Arial" w:cs="Arial"/>
          <w:color w:val="000000"/>
          <w:sz w:val="20"/>
          <w:szCs w:val="20"/>
        </w:rPr>
        <w:t xml:space="preserve"> Department of Microbiology, Clinical Center of Serbia</w:t>
      </w:r>
      <w:r w:rsidRPr="001A341F">
        <w:rPr>
          <w:rFonts w:ascii="Arial" w:eastAsia="Times New Roman" w:hAnsi="Arial" w:cs="Arial"/>
          <w:bCs/>
          <w:color w:val="000000"/>
          <w:sz w:val="20"/>
          <w:szCs w:val="20"/>
        </w:rPr>
        <w:t>, Belgrade, Serbia</w:t>
      </w:r>
    </w:p>
    <w:p w:rsidR="001A341F" w:rsidRPr="001A341F" w:rsidRDefault="001A341F" w:rsidP="001A341F">
      <w:pPr>
        <w:pStyle w:val="Standard"/>
        <w:spacing w:after="0"/>
        <w:jc w:val="both"/>
        <w:rPr>
          <w:rFonts w:ascii="Arial" w:eastAsia="Times New Roman" w:hAnsi="Arial" w:cs="Arial"/>
          <w:bCs/>
          <w:color w:val="000000"/>
          <w:sz w:val="20"/>
          <w:szCs w:val="20"/>
        </w:rPr>
      </w:pPr>
      <w:r w:rsidRPr="001A341F">
        <w:rPr>
          <w:rFonts w:ascii="Arial" w:eastAsia="Times New Roman" w:hAnsi="Arial" w:cs="Arial"/>
          <w:bCs/>
          <w:color w:val="000000"/>
          <w:sz w:val="20"/>
          <w:szCs w:val="20"/>
        </w:rPr>
        <w:t xml:space="preserve">Dr Milica Jovanović, </w:t>
      </w:r>
      <w:r w:rsidRPr="001A341F">
        <w:rPr>
          <w:rFonts w:ascii="Arial" w:eastAsia="Times New Roman" w:hAnsi="Arial" w:cs="Arial"/>
          <w:color w:val="000000"/>
          <w:sz w:val="20"/>
          <w:szCs w:val="20"/>
        </w:rPr>
        <w:t>Department of Microbiology, Clinical Center of Serbia</w:t>
      </w:r>
      <w:r w:rsidRPr="001A341F">
        <w:rPr>
          <w:rFonts w:ascii="Arial" w:eastAsia="Times New Roman" w:hAnsi="Arial" w:cs="Arial"/>
          <w:bCs/>
          <w:color w:val="000000"/>
          <w:sz w:val="20"/>
          <w:szCs w:val="20"/>
        </w:rPr>
        <w:t>, Belgrade, Serbia</w:t>
      </w:r>
    </w:p>
    <w:p w:rsidR="001A341F" w:rsidRPr="001A341F" w:rsidRDefault="001A341F" w:rsidP="001A341F">
      <w:pPr>
        <w:pStyle w:val="Standard"/>
        <w:spacing w:after="0"/>
        <w:jc w:val="both"/>
        <w:rPr>
          <w:rFonts w:ascii="Arial" w:eastAsia="Times New Roman" w:hAnsi="Arial" w:cs="Arial"/>
          <w:bCs/>
          <w:color w:val="000000"/>
          <w:sz w:val="20"/>
          <w:szCs w:val="20"/>
        </w:rPr>
      </w:pPr>
      <w:r w:rsidRPr="001A341F">
        <w:rPr>
          <w:rFonts w:ascii="Arial" w:eastAsia="Times New Roman" w:hAnsi="Arial" w:cs="Arial"/>
          <w:bCs/>
          <w:color w:val="000000"/>
          <w:sz w:val="20"/>
          <w:szCs w:val="20"/>
        </w:rPr>
        <w:t>Dr Vesna Mioljević,</w:t>
      </w:r>
      <w:r w:rsidRPr="001A341F">
        <w:rPr>
          <w:rFonts w:ascii="Arial" w:hAnsi="Arial" w:cs="Arial"/>
          <w:color w:val="000000"/>
          <w:sz w:val="20"/>
          <w:szCs w:val="20"/>
        </w:rPr>
        <w:t xml:space="preserve"> Department of Epidemiology, Clinical Center of Serbia</w:t>
      </w:r>
      <w:r w:rsidRPr="001A341F">
        <w:rPr>
          <w:rFonts w:ascii="Arial" w:hAnsi="Arial" w:cs="Arial"/>
          <w:bCs/>
          <w:color w:val="000000"/>
          <w:sz w:val="20"/>
          <w:szCs w:val="20"/>
        </w:rPr>
        <w:t>, Belgrade, Serbia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34097" w:rsidRPr="0077606E" w:rsidRDefault="00A9710C" w:rsidP="00734097">
      <w:pPr>
        <w:pStyle w:val="Heading3"/>
        <w:spacing w:before="147"/>
        <w:ind w:left="0"/>
        <w:jc w:val="both"/>
        <w:rPr>
          <w:color w:val="BF5A14"/>
        </w:rPr>
      </w:pPr>
      <w:r>
        <w:rPr>
          <w:color w:val="BF5A14"/>
        </w:rPr>
        <w:lastRenderedPageBreak/>
        <w:t>Abstract</w:t>
      </w:r>
      <w:r w:rsidR="00404E5B">
        <w:rPr>
          <w:color w:val="BF5A14"/>
        </w:rPr>
        <w:t xml:space="preserve"> </w:t>
      </w:r>
    </w:p>
    <w:p w:rsidR="001A341F" w:rsidRPr="001A341F" w:rsidRDefault="001A341F" w:rsidP="001A341F">
      <w:pPr>
        <w:pStyle w:val="Default"/>
        <w:jc w:val="both"/>
        <w:rPr>
          <w:sz w:val="18"/>
          <w:szCs w:val="18"/>
        </w:rPr>
      </w:pPr>
      <w:r w:rsidRPr="001A341F">
        <w:rPr>
          <w:bCs/>
          <w:sz w:val="18"/>
          <w:szCs w:val="18"/>
        </w:rPr>
        <w:t>Sepsis is a life-threatening organ dysfunction caused by a dysregulated host response to infection.</w:t>
      </w:r>
      <w:r w:rsidRPr="001A341F">
        <w:rPr>
          <w:sz w:val="18"/>
          <w:szCs w:val="18"/>
        </w:rPr>
        <w:t xml:space="preserve"> </w:t>
      </w:r>
      <w:r w:rsidRPr="001A341F">
        <w:rPr>
          <w:color w:val="222222"/>
          <w:sz w:val="18"/>
          <w:szCs w:val="18"/>
        </w:rPr>
        <w:t>Bloodcultures (BC), when properly sampled,  provide clinically relevant information that can identify the causative agent, represent guide to antibiotic therapy. BC are the gold standard in the diagnosis of septicemia but have low sensitivity. T2Dx (</w:t>
      </w:r>
      <w:r w:rsidRPr="001A341F">
        <w:rPr>
          <w:bCs/>
          <w:color w:val="222222"/>
          <w:sz w:val="18"/>
          <w:szCs w:val="18"/>
        </w:rPr>
        <w:t>T2Biosystems, Lexington, Massachusetts)</w:t>
      </w:r>
      <w:r w:rsidRPr="001A341F">
        <w:rPr>
          <w:b/>
          <w:bCs/>
          <w:color w:val="222222"/>
          <w:sz w:val="18"/>
          <w:szCs w:val="18"/>
        </w:rPr>
        <w:t xml:space="preserve"> </w:t>
      </w:r>
      <w:r w:rsidRPr="001A341F">
        <w:rPr>
          <w:color w:val="222222"/>
          <w:sz w:val="18"/>
          <w:szCs w:val="18"/>
        </w:rPr>
        <w:t xml:space="preserve">applies Magnetic Resonance and  nanotechnology (T2MR) to detect pathogen DNA directly from 4 ml a whole blood sample for 3-5 h. In the period 10.12.2018. until 14.11.2019. 117 blood samples were processed from 72 patients in </w:t>
      </w:r>
      <w:r w:rsidRPr="001A341F">
        <w:rPr>
          <w:sz w:val="18"/>
          <w:szCs w:val="18"/>
        </w:rPr>
        <w:t>medical and surgical intensive care unit, hematology and BMT (</w:t>
      </w:r>
      <w:r w:rsidRPr="001A341F">
        <w:rPr>
          <w:color w:val="222222"/>
          <w:sz w:val="18"/>
          <w:szCs w:val="18"/>
        </w:rPr>
        <w:t>46 male and 26 female). We used T2Bacteria panel (BP;73;62.4%) and T2Candida panel (CP;44;37.6%). Out o</w:t>
      </w:r>
      <w:r w:rsidRPr="001A341F">
        <w:rPr>
          <w:color w:val="222222"/>
          <w:sz w:val="18"/>
          <w:szCs w:val="18"/>
          <w:shd w:val="clear" w:color="auto" w:fill="F8F9FA"/>
        </w:rPr>
        <w:t xml:space="preserve">f the total number </w:t>
      </w:r>
      <w:r w:rsidRPr="001A341F">
        <w:rPr>
          <w:color w:val="222222"/>
          <w:sz w:val="18"/>
          <w:szCs w:val="18"/>
        </w:rPr>
        <w:t>assays</w:t>
      </w:r>
      <w:r w:rsidRPr="001A341F">
        <w:rPr>
          <w:color w:val="222222"/>
          <w:sz w:val="18"/>
          <w:szCs w:val="18"/>
          <w:shd w:val="clear" w:color="auto" w:fill="F8F9FA"/>
        </w:rPr>
        <w:t xml:space="preserve"> performed, the positive were (29.91%; 2 CP and 33 BP);  negative (66.6%; 40</w:t>
      </w:r>
      <w:r w:rsidR="000C6D56">
        <w:rPr>
          <w:color w:val="222222"/>
          <w:sz w:val="18"/>
          <w:szCs w:val="18"/>
          <w:shd w:val="clear" w:color="auto" w:fill="F8F9FA"/>
        </w:rPr>
        <w:t xml:space="preserve"> </w:t>
      </w:r>
      <w:r w:rsidRPr="001A341F">
        <w:rPr>
          <w:color w:val="222222"/>
          <w:sz w:val="18"/>
          <w:szCs w:val="18"/>
          <w:shd w:val="clear" w:color="auto" w:fill="F8F9FA"/>
        </w:rPr>
        <w:t>BP and 38</w:t>
      </w:r>
      <w:r w:rsidR="000C6D56">
        <w:rPr>
          <w:color w:val="222222"/>
          <w:sz w:val="18"/>
          <w:szCs w:val="18"/>
          <w:shd w:val="clear" w:color="auto" w:fill="F8F9FA"/>
        </w:rPr>
        <w:t xml:space="preserve"> </w:t>
      </w:r>
      <w:r w:rsidRPr="001A341F">
        <w:rPr>
          <w:color w:val="222222"/>
          <w:sz w:val="18"/>
          <w:szCs w:val="18"/>
          <w:shd w:val="clear" w:color="auto" w:fill="F8F9FA"/>
        </w:rPr>
        <w:t xml:space="preserve">CP). Invalid  result (interference with MR signal) </w:t>
      </w:r>
      <w:r w:rsidRPr="001A341F">
        <w:rPr>
          <w:color w:val="222222"/>
          <w:sz w:val="18"/>
          <w:szCs w:val="18"/>
        </w:rPr>
        <w:t xml:space="preserve">was obtained in 4 CP (3.41%). For most patients, samples for T2Dx and for BC were not taken at the same time (42/72), or no samples were taken for BC at all (10/72). In 20 patients (20/72), blood samples were simultaneously tested by BC and T2Dx. Out of them, </w:t>
      </w:r>
      <w:r w:rsidRPr="001A341F">
        <w:rPr>
          <w:sz w:val="18"/>
          <w:szCs w:val="18"/>
        </w:rPr>
        <w:t xml:space="preserve">in 14 patients (14/20) were </w:t>
      </w:r>
      <w:r w:rsidRPr="001A341F">
        <w:rPr>
          <w:color w:val="222222"/>
          <w:sz w:val="18"/>
          <w:szCs w:val="18"/>
        </w:rPr>
        <w:t>T2Dx</w:t>
      </w:r>
      <w:r w:rsidRPr="001A341F">
        <w:rPr>
          <w:sz w:val="18"/>
          <w:szCs w:val="18"/>
        </w:rPr>
        <w:t xml:space="preserve">+/BC+ with same microorganisam detected, in 3 patients (3/20) were </w:t>
      </w:r>
      <w:r w:rsidRPr="001A341F">
        <w:rPr>
          <w:color w:val="222222"/>
          <w:sz w:val="18"/>
          <w:szCs w:val="18"/>
        </w:rPr>
        <w:t>T2Dx</w:t>
      </w:r>
      <w:r w:rsidRPr="001A341F">
        <w:rPr>
          <w:sz w:val="18"/>
          <w:szCs w:val="18"/>
        </w:rPr>
        <w:t xml:space="preserve"> +/BC+ with different microorganisam detected, and  in 3 patients (3/20) </w:t>
      </w:r>
      <w:r w:rsidRPr="001A341F">
        <w:rPr>
          <w:color w:val="222222"/>
          <w:sz w:val="18"/>
          <w:szCs w:val="18"/>
        </w:rPr>
        <w:t>T2Dx</w:t>
      </w:r>
      <w:r w:rsidRPr="001A341F">
        <w:rPr>
          <w:sz w:val="18"/>
          <w:szCs w:val="18"/>
        </w:rPr>
        <w:t xml:space="preserve">-/BC+. The sensitivity, specificity, positive predictive value, and negative predictive value were </w:t>
      </w:r>
      <w:r w:rsidRPr="001A341F">
        <w:rPr>
          <w:sz w:val="18"/>
          <w:szCs w:val="18"/>
          <w:shd w:val="clear" w:color="auto" w:fill="FFFFFF"/>
        </w:rPr>
        <w:t xml:space="preserve">92.1%, 96.2%, </w:t>
      </w:r>
      <w:r w:rsidRPr="001A341F">
        <w:rPr>
          <w:sz w:val="18"/>
          <w:szCs w:val="18"/>
          <w:lang w:val="en-NZ"/>
        </w:rPr>
        <w:t>82.35</w:t>
      </w:r>
      <w:r w:rsidRPr="001A341F">
        <w:rPr>
          <w:sz w:val="18"/>
          <w:szCs w:val="18"/>
          <w:shd w:val="clear" w:color="auto" w:fill="FFFFFF"/>
        </w:rPr>
        <w:t>%, and 96.15%</w:t>
      </w:r>
      <w:r w:rsidRPr="001A341F">
        <w:rPr>
          <w:sz w:val="18"/>
          <w:szCs w:val="18"/>
        </w:rPr>
        <w:t>, respectively.</w:t>
      </w:r>
      <w:r w:rsidRPr="001A341F">
        <w:rPr>
          <w:sz w:val="18"/>
          <w:szCs w:val="18"/>
          <w:shd w:val="clear" w:color="auto" w:fill="FFFFFF"/>
        </w:rPr>
        <w:t xml:space="preserve"> </w:t>
      </w:r>
      <w:r w:rsidRPr="001A341F">
        <w:rPr>
          <w:color w:val="222222"/>
          <w:sz w:val="18"/>
          <w:szCs w:val="18"/>
        </w:rPr>
        <w:t>T2Dx could be a significant improvement for the laboratory diagnosis BSI.</w:t>
      </w:r>
    </w:p>
    <w:p w:rsidR="00AC11BB" w:rsidRPr="00AC11BB" w:rsidRDefault="00A9710C" w:rsidP="00AC11BB">
      <w:pPr>
        <w:pStyle w:val="Heading3"/>
        <w:spacing w:before="74"/>
        <w:rPr>
          <w:color w:val="BF5A14"/>
        </w:rPr>
      </w:pPr>
      <w:r>
        <w:rPr>
          <w:b w:val="0"/>
        </w:rPr>
        <w:br w:type="column"/>
      </w:r>
      <w:r>
        <w:rPr>
          <w:color w:val="BF5A14"/>
        </w:rPr>
        <w:lastRenderedPageBreak/>
        <w:t>Image</w:t>
      </w:r>
      <w:r w:rsidR="006B1843">
        <w:rPr>
          <w:color w:val="BF5A14"/>
        </w:rPr>
        <w:t xml:space="preserve"> 1:</w:t>
      </w:r>
      <w:r w:rsidR="006B1843" w:rsidRPr="006B1843">
        <w:rPr>
          <w:color w:val="BF5A14"/>
          <w:lang w:val="sr-Latn-CS"/>
        </w:rPr>
        <w:t xml:space="preserve"> </w:t>
      </w:r>
      <w:r w:rsidR="00AC11BB" w:rsidRPr="00AC11BB">
        <w:rPr>
          <w:color w:val="BF5A14"/>
        </w:rPr>
        <w:t>T2Dx</w:t>
      </w:r>
      <w:r w:rsidR="00AC11BB">
        <w:rPr>
          <w:color w:val="BF5A14"/>
        </w:rPr>
        <w:t xml:space="preserve"> </w:t>
      </w:r>
      <w:r w:rsidR="00C3500C">
        <w:rPr>
          <w:color w:val="BF5A14"/>
        </w:rPr>
        <w:t>result</w:t>
      </w:r>
      <w:r w:rsidR="00AC11BB" w:rsidRPr="00AC11BB">
        <w:rPr>
          <w:color w:val="BF5A14"/>
        </w:rPr>
        <w:t xml:space="preserve">(T2Biosystems, Lexington, Massachusetts) </w:t>
      </w:r>
    </w:p>
    <w:p w:rsidR="00AE3E37" w:rsidRPr="006B1843" w:rsidRDefault="00C3500C" w:rsidP="00AC11BB">
      <w:pPr>
        <w:pStyle w:val="Heading3"/>
        <w:spacing w:before="74"/>
        <w:ind w:left="0"/>
      </w:pPr>
      <w:r>
        <w:t xml:space="preserve">                         </w:t>
      </w:r>
      <w:r w:rsidRPr="00C3500C">
        <w:rPr>
          <w:noProof/>
        </w:rPr>
        <w:drawing>
          <wp:inline distT="0" distB="0" distL="0" distR="0">
            <wp:extent cx="1335024" cy="1119188"/>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335024" cy="1119188"/>
                    </a:xfrm>
                    <a:prstGeom prst="rect">
                      <a:avLst/>
                    </a:prstGeom>
                    <a:noFill/>
                    <a:ln w="9525">
                      <a:noFill/>
                      <a:miter lim="800000"/>
                      <a:headEnd/>
                      <a:tailEnd/>
                    </a:ln>
                  </pic:spPr>
                </pic:pic>
              </a:graphicData>
            </a:graphic>
          </wp:inline>
        </w:drawing>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r w:rsidR="006B1843">
        <w:rPr>
          <w:rFonts w:ascii="Arial"/>
          <w:b/>
          <w:color w:val="BF5A14"/>
          <w:sz w:val="20"/>
        </w:rPr>
        <w:t>:</w:t>
      </w:r>
    </w:p>
    <w:p w:rsidR="00AC11BB" w:rsidRPr="000C6D56" w:rsidRDefault="00AC11BB" w:rsidP="000C6D56">
      <w:pPr>
        <w:pStyle w:val="ListParagraph"/>
        <w:numPr>
          <w:ilvl w:val="0"/>
          <w:numId w:val="3"/>
        </w:numPr>
        <w:tabs>
          <w:tab w:val="left" w:pos="384"/>
        </w:tabs>
        <w:spacing w:before="103" w:line="216" w:lineRule="exact"/>
        <w:ind w:right="138" w:hanging="283"/>
        <w:rPr>
          <w:color w:val="000000"/>
          <w:sz w:val="18"/>
          <w:szCs w:val="18"/>
        </w:rPr>
      </w:pPr>
      <w:r w:rsidRPr="000C6D56">
        <w:rPr>
          <w:bCs/>
          <w:sz w:val="18"/>
          <w:szCs w:val="18"/>
        </w:rPr>
        <w:t xml:space="preserve">Mylonakis E, Zacharioudakis IM,Clancy CJ, Nguyen MH, Pappas PG. 2018.Efficacy of T2 magnetic resonance assay in monitoring candidemia after initiation of antifungal therapy: the Serial Therapeutic and </w:t>
      </w:r>
      <w:r w:rsidRPr="000C6D56">
        <w:rPr>
          <w:bCs/>
          <w:sz w:val="18"/>
          <w:szCs w:val="18"/>
          <w:lang w:val="it-IT"/>
        </w:rPr>
        <w:t>Antifungal Monitoring Protocol (STAMP) trial.</w:t>
      </w:r>
      <w:r w:rsidRPr="000C6D56">
        <w:rPr>
          <w:bCs/>
          <w:sz w:val="18"/>
          <w:szCs w:val="18"/>
        </w:rPr>
        <w:t xml:space="preserve"> J Clin Microbiol 56:e01756-17. </w:t>
      </w:r>
    </w:p>
    <w:p w:rsidR="00AC11BB" w:rsidRPr="00AC11BB" w:rsidRDefault="00AC11BB" w:rsidP="00AC11BB">
      <w:pPr>
        <w:pStyle w:val="ListParagraph"/>
        <w:numPr>
          <w:ilvl w:val="0"/>
          <w:numId w:val="3"/>
        </w:numPr>
        <w:tabs>
          <w:tab w:val="left" w:pos="384"/>
        </w:tabs>
        <w:spacing w:before="103" w:line="216" w:lineRule="exact"/>
        <w:ind w:right="138" w:hanging="283"/>
        <w:rPr>
          <w:sz w:val="18"/>
          <w:szCs w:val="18"/>
        </w:rPr>
      </w:pPr>
      <w:r w:rsidRPr="00AC11BB">
        <w:rPr>
          <w:bCs/>
          <w:sz w:val="18"/>
          <w:szCs w:val="18"/>
        </w:rPr>
        <w:t xml:space="preserve">Tang et al. Pooled analysis of T2 Candida for rapid diagnosis of candidiasis. BMC Infectious Diseases (2019) 19:798 https://doi.org/10.1186/s12879-019-4419-z </w:t>
      </w:r>
    </w:p>
    <w:p w:rsidR="00AC11BB" w:rsidRPr="00AC11BB" w:rsidRDefault="00AC11BB" w:rsidP="00AC11BB">
      <w:pPr>
        <w:pStyle w:val="ListParagraph"/>
        <w:numPr>
          <w:ilvl w:val="0"/>
          <w:numId w:val="3"/>
        </w:numPr>
        <w:tabs>
          <w:tab w:val="left" w:pos="384"/>
        </w:tabs>
        <w:spacing w:before="103" w:line="216" w:lineRule="exact"/>
        <w:ind w:right="138" w:hanging="283"/>
        <w:rPr>
          <w:sz w:val="18"/>
          <w:szCs w:val="18"/>
        </w:rPr>
      </w:pPr>
      <w:r w:rsidRPr="00AC11BB">
        <w:rPr>
          <w:bCs/>
          <w:sz w:val="18"/>
          <w:szCs w:val="18"/>
        </w:rPr>
        <w:t xml:space="preserve">CDC/NHSN Patient Safety Component Manual,Summary of Updates, January 2020 </w:t>
      </w:r>
    </w:p>
    <w:p w:rsidR="00AE3E37" w:rsidRPr="00AC11BB" w:rsidRDefault="00AC11BB" w:rsidP="00AC11BB">
      <w:pPr>
        <w:pStyle w:val="ListParagraph"/>
        <w:numPr>
          <w:ilvl w:val="0"/>
          <w:numId w:val="3"/>
        </w:numPr>
        <w:tabs>
          <w:tab w:val="left" w:pos="384"/>
        </w:tabs>
        <w:spacing w:before="103" w:line="216" w:lineRule="exact"/>
        <w:ind w:right="138" w:hanging="283"/>
        <w:rPr>
          <w:sz w:val="18"/>
          <w:szCs w:val="18"/>
        </w:rPr>
      </w:pPr>
      <w:r w:rsidRPr="00AC11BB">
        <w:rPr>
          <w:bCs/>
          <w:sz w:val="18"/>
          <w:szCs w:val="18"/>
        </w:rPr>
        <w:t>Cornelius J. Clancy et all.Detecting Infections Rapidly and Easily for Candidemia Trial, Part 2 (DIRECT2): A Prospective, Multicenter Study of the T2Candida Panel. CID 2018;66(11):1678–86</w:t>
      </w:r>
    </w:p>
    <w:p w:rsidR="00AC11BB" w:rsidRPr="00AC11BB" w:rsidRDefault="00AC11BB" w:rsidP="000C6D56">
      <w:pPr>
        <w:pStyle w:val="ListParagraph"/>
        <w:widowControl/>
        <w:numPr>
          <w:ilvl w:val="0"/>
          <w:numId w:val="3"/>
        </w:numPr>
        <w:autoSpaceDE w:val="0"/>
        <w:autoSpaceDN w:val="0"/>
        <w:adjustRightInd w:val="0"/>
        <w:spacing w:before="0" w:line="240" w:lineRule="auto"/>
        <w:rPr>
          <w:rFonts w:asciiTheme="minorHAnsi" w:eastAsiaTheme="minorHAnsi" w:hAnsiTheme="minorHAnsi" w:cstheme="minorHAnsi"/>
          <w:sz w:val="18"/>
          <w:szCs w:val="18"/>
        </w:rPr>
      </w:pPr>
      <w:r w:rsidRPr="00AC11BB">
        <w:rPr>
          <w:rFonts w:asciiTheme="minorHAnsi" w:eastAsiaTheme="minorHAnsi" w:hAnsiTheme="minorHAnsi" w:cstheme="minorHAnsi"/>
          <w:sz w:val="18"/>
          <w:szCs w:val="18"/>
        </w:rPr>
        <w:t xml:space="preserve">De Angelis et al. T2Bacteria magnetic resonance assay for the rapid  </w:t>
      </w:r>
    </w:p>
    <w:p w:rsidR="00AC11BB" w:rsidRPr="00AC11BB" w:rsidRDefault="00AC11BB" w:rsidP="000C6D56">
      <w:pPr>
        <w:pStyle w:val="ListParagraph"/>
        <w:widowControl/>
        <w:autoSpaceDE w:val="0"/>
        <w:autoSpaceDN w:val="0"/>
        <w:adjustRightInd w:val="0"/>
        <w:spacing w:before="0" w:line="240" w:lineRule="auto"/>
        <w:ind w:firstLine="0"/>
        <w:rPr>
          <w:rFonts w:asciiTheme="minorHAnsi" w:eastAsiaTheme="minorHAnsi" w:hAnsiTheme="minorHAnsi" w:cstheme="minorHAnsi"/>
          <w:sz w:val="18"/>
          <w:szCs w:val="18"/>
        </w:rPr>
        <w:sectPr w:rsidR="00AC11BB" w:rsidRPr="00AC11BB">
          <w:type w:val="continuous"/>
          <w:pgSz w:w="11910" w:h="16840"/>
          <w:pgMar w:top="1740" w:right="600" w:bottom="840" w:left="620" w:header="720" w:footer="720" w:gutter="0"/>
          <w:cols w:num="2" w:space="720" w:equalWidth="0">
            <w:col w:w="5214" w:space="138"/>
            <w:col w:w="5338"/>
          </w:cols>
        </w:sectPr>
      </w:pPr>
      <w:r w:rsidRPr="00AC11BB">
        <w:rPr>
          <w:rFonts w:asciiTheme="minorHAnsi" w:eastAsiaTheme="minorHAnsi" w:hAnsiTheme="minorHAnsi" w:cstheme="minorHAnsi"/>
          <w:sz w:val="18"/>
          <w:szCs w:val="18"/>
        </w:rPr>
        <w:t xml:space="preserve">detection of ESKAPEc pathogens directly in whole blood. J Antimicrob Chemother </w:t>
      </w:r>
      <w:r>
        <w:rPr>
          <w:rFonts w:asciiTheme="minorHAnsi" w:eastAsiaTheme="minorHAnsi" w:hAnsiTheme="minorHAnsi" w:cstheme="minorHAnsi"/>
          <w:sz w:val="18"/>
          <w:szCs w:val="18"/>
        </w:rPr>
        <w:t>2018;</w:t>
      </w:r>
      <w:r w:rsidRPr="00AC11BB">
        <w:rPr>
          <w:rFonts w:asciiTheme="minorHAnsi" w:eastAsiaTheme="minorHAnsi" w:hAnsiTheme="minorHAnsi" w:cstheme="minorHAnsi"/>
          <w:sz w:val="18"/>
          <w:szCs w:val="18"/>
        </w:rPr>
        <w:t xml:space="preserve">73 </w:t>
      </w:r>
      <w:r>
        <w:rPr>
          <w:rFonts w:asciiTheme="minorHAnsi" w:eastAsiaTheme="minorHAnsi" w:hAnsiTheme="minorHAnsi" w:cstheme="minorHAnsi"/>
          <w:sz w:val="18"/>
          <w:szCs w:val="18"/>
        </w:rPr>
        <w:t>Suppl 4:</w:t>
      </w:r>
      <w:r w:rsidRPr="00AC11BB">
        <w:rPr>
          <w:rFonts w:asciiTheme="minorHAnsi" w:eastAsiaTheme="minorHAnsi" w:hAnsiTheme="minorHAnsi" w:cstheme="minorHAnsi"/>
          <w:sz w:val="18"/>
          <w:szCs w:val="18"/>
        </w:rPr>
        <w:t>iv20–iv26doi:10.1093</w:t>
      </w:r>
      <w:r>
        <w:rPr>
          <w:rFonts w:asciiTheme="minorHAnsi" w:eastAsiaTheme="minorHAnsi" w:hAnsiTheme="minorHAnsi" w:cstheme="minorHAnsi"/>
          <w:sz w:val="18"/>
          <w:szCs w:val="18"/>
        </w:rPr>
        <w:t xml:space="preserve"> </w:t>
      </w:r>
      <w:r w:rsidRPr="00AC11BB">
        <w:rPr>
          <w:rFonts w:asciiTheme="minorHAnsi" w:eastAsiaTheme="minorHAnsi" w:hAnsiTheme="minorHAnsi" w:cstheme="minorHAnsi"/>
          <w:sz w:val="18"/>
          <w:szCs w:val="18"/>
        </w:rPr>
        <w:t>/jac/dky049</w:t>
      </w:r>
    </w:p>
    <w:p w:rsidR="00AE3E37" w:rsidRPr="00AC11BB" w:rsidRDefault="00D62425" w:rsidP="000C6D56">
      <w:pPr>
        <w:pStyle w:val="BodyText"/>
        <w:rPr>
          <w:rFonts w:asciiTheme="minorHAnsi" w:hAnsiTheme="minorHAnsi" w:cstheme="minorHAnsi"/>
          <w:b/>
        </w:rPr>
      </w:pPr>
      <w:r w:rsidRPr="00AC11BB">
        <w:rPr>
          <w:rFonts w:asciiTheme="minorHAnsi" w:hAnsiTheme="minorHAnsi" w:cstheme="minorHAnsi"/>
          <w:b/>
        </w:rPr>
        <w:lastRenderedPageBreak/>
        <w:t>Photograph</w:t>
      </w:r>
    </w:p>
    <w:p w:rsidR="00AE3E37" w:rsidRDefault="00C326D0" w:rsidP="000C6D56">
      <w:pPr>
        <w:pStyle w:val="BodyText"/>
        <w:ind w:left="2202"/>
        <w:rPr>
          <w:rFonts w:ascii="Calibri"/>
          <w:sz w:val="4"/>
        </w:rPr>
      </w:pPr>
      <w:r w:rsidRPr="00C326D0">
        <w:rPr>
          <w:rFonts w:ascii="Calibri"/>
          <w:noProof/>
          <w:sz w:val="4"/>
          <w:lang w:val="en-IN" w:eastAsia="en-IN"/>
        </w:rPr>
      </w:r>
      <w:r w:rsidRPr="00C326D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77606E" w:rsidP="000C6D56">
      <w:pPr>
        <w:ind w:right="4234"/>
        <w:rPr>
          <w:rFonts w:ascii="Arial"/>
        </w:rPr>
      </w:pPr>
      <w:r>
        <w:rPr>
          <w:noProof/>
        </w:rPr>
        <w:drawing>
          <wp:inline distT="0" distB="0" distL="0" distR="0">
            <wp:extent cx="593789" cy="82296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93789" cy="822960"/>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CD55C5" w:rsidRPr="00CD55C5" w:rsidRDefault="00CD55C5" w:rsidP="00CD55C5">
      <w:pPr>
        <w:tabs>
          <w:tab w:val="left" w:pos="3060"/>
          <w:tab w:val="right" w:leader="dot" w:pos="10080"/>
        </w:tabs>
        <w:rPr>
          <w:rFonts w:ascii="Arial" w:hAnsi="Arial" w:cs="Arial"/>
          <w:sz w:val="16"/>
          <w:szCs w:val="16"/>
        </w:rPr>
      </w:pPr>
      <w:r w:rsidRPr="00CD55C5">
        <w:rPr>
          <w:rFonts w:ascii="Arial" w:hAnsi="Arial" w:cs="Arial"/>
          <w:sz w:val="16"/>
          <w:szCs w:val="16"/>
        </w:rPr>
        <w:t xml:space="preserve">I am a Master of Medical Sciences in the field of microbiology and parasitology, specialist of microbiology and parasitology and </w:t>
      </w:r>
      <w:r w:rsidRPr="00CD55C5">
        <w:rPr>
          <w:rStyle w:val="hpsalt-edited"/>
          <w:rFonts w:ascii="Arial" w:hAnsi="Arial" w:cs="Arial"/>
          <w:sz w:val="16"/>
          <w:szCs w:val="16"/>
        </w:rPr>
        <w:t>subspecialist in</w:t>
      </w:r>
      <w:r w:rsidRPr="00CD55C5">
        <w:rPr>
          <w:rStyle w:val="shorttext"/>
          <w:rFonts w:ascii="Arial" w:hAnsi="Arial" w:cs="Arial"/>
          <w:sz w:val="16"/>
          <w:szCs w:val="16"/>
        </w:rPr>
        <w:t xml:space="preserve"> </w:t>
      </w:r>
      <w:r w:rsidRPr="00CD55C5">
        <w:rPr>
          <w:rStyle w:val="hpsalt-edited"/>
          <w:rFonts w:ascii="Arial" w:hAnsi="Arial" w:cs="Arial"/>
          <w:sz w:val="16"/>
          <w:szCs w:val="16"/>
        </w:rPr>
        <w:t xml:space="preserve"> the</w:t>
      </w:r>
      <w:r w:rsidRPr="00CD55C5">
        <w:rPr>
          <w:rStyle w:val="shorttext"/>
          <w:rFonts w:ascii="Arial" w:hAnsi="Arial" w:cs="Arial"/>
          <w:sz w:val="16"/>
          <w:szCs w:val="16"/>
        </w:rPr>
        <w:t xml:space="preserve"> </w:t>
      </w:r>
      <w:r w:rsidRPr="00CD55C5">
        <w:rPr>
          <w:rStyle w:val="hps"/>
          <w:rFonts w:ascii="Arial" w:hAnsi="Arial" w:cs="Arial"/>
          <w:sz w:val="16"/>
          <w:szCs w:val="16"/>
        </w:rPr>
        <w:t>Parasitology.</w:t>
      </w:r>
      <w:r w:rsidR="00A9710C" w:rsidRPr="00CD55C5">
        <w:rPr>
          <w:rFonts w:ascii="Arial" w:hAnsi="Arial" w:cs="Arial"/>
          <w:sz w:val="16"/>
          <w:szCs w:val="16"/>
        </w:rPr>
        <w:t xml:space="preserve"> </w:t>
      </w:r>
      <w:r w:rsidRPr="00CD55C5">
        <w:rPr>
          <w:rFonts w:ascii="Arial" w:hAnsi="Arial" w:cs="Arial"/>
          <w:sz w:val="16"/>
          <w:szCs w:val="16"/>
        </w:rPr>
        <w:t>I have over 90 papers in the field of microbiology.</w:t>
      </w:r>
      <w:r w:rsidRPr="00CD55C5">
        <w:rPr>
          <w:rFonts w:ascii="Arial" w:hAnsi="Arial" w:cs="Arial"/>
          <w:sz w:val="16"/>
          <w:szCs w:val="16"/>
          <w:lang w:val="sr-Latn-CS"/>
        </w:rPr>
        <w:t xml:space="preserve"> I am coinvestigator (main microbiologist) in 10 clinical studies.</w:t>
      </w:r>
      <w:r w:rsidRPr="00CD55C5">
        <w:rPr>
          <w:rFonts w:ascii="Arial" w:hAnsi="Arial" w:cs="Arial"/>
          <w:sz w:val="16"/>
          <w:szCs w:val="16"/>
        </w:rPr>
        <w:t xml:space="preserve"> I have been in the</w:t>
      </w:r>
      <w:r w:rsidR="000C6D56">
        <w:rPr>
          <w:rFonts w:ascii="Arial" w:hAnsi="Arial" w:cs="Arial"/>
          <w:sz w:val="16"/>
          <w:szCs w:val="16"/>
        </w:rPr>
        <w:t xml:space="preserve"> </w:t>
      </w:r>
      <w:r w:rsidRPr="00CD55C5">
        <w:rPr>
          <w:rFonts w:ascii="Arial" w:hAnsi="Arial" w:cs="Arial"/>
          <w:sz w:val="16"/>
          <w:szCs w:val="16"/>
        </w:rPr>
        <w:t>position of Director for 9 years (Department of microbiology, Clinical Center of  Serbia</w:t>
      </w:r>
      <w:r>
        <w:rPr>
          <w:rFonts w:ascii="Arial" w:hAnsi="Arial" w:cs="Arial"/>
          <w:sz w:val="16"/>
          <w:szCs w:val="16"/>
        </w:rPr>
        <w:t>).</w:t>
      </w:r>
    </w:p>
    <w:p w:rsidR="00CD55C5" w:rsidRPr="00CD55C5" w:rsidRDefault="00CD55C5" w:rsidP="00CD55C5">
      <w:pPr>
        <w:pStyle w:val="HTMLPreformatted"/>
        <w:rPr>
          <w:rFonts w:ascii="Arial" w:hAnsi="Arial" w:cs="Arial"/>
          <w:sz w:val="16"/>
          <w:szCs w:val="16"/>
        </w:rPr>
      </w:pPr>
    </w:p>
    <w:p w:rsidR="000C6D56" w:rsidRDefault="00A9710C" w:rsidP="000C6D56">
      <w:pPr>
        <w:spacing w:before="41" w:line="154" w:lineRule="exact"/>
        <w:ind w:left="213" w:right="231"/>
        <w:jc w:val="center"/>
      </w:pPr>
      <w:r>
        <w:rPr>
          <w:rFonts w:ascii="Arial"/>
          <w:sz w:val="14"/>
        </w:rPr>
        <w:t xml:space="preserve">Email: </w:t>
      </w:r>
      <w:hyperlink r:id="rId11" w:history="1">
        <w:r w:rsidR="00CD55C5" w:rsidRPr="004F01AB">
          <w:rPr>
            <w:rStyle w:val="Hyperlink"/>
            <w:rFonts w:ascii="Arial"/>
            <w:sz w:val="14"/>
          </w:rPr>
          <w:t>drsnezana.jovanovic@gmail.com</w:t>
        </w:r>
      </w:hyperlink>
      <w:bookmarkStart w:id="0" w:name="_GoBack"/>
      <w:bookmarkEnd w:id="0"/>
    </w:p>
    <w:p w:rsidR="00AE3E37" w:rsidRPr="000C6D56" w:rsidRDefault="00C326D0" w:rsidP="000C6D56">
      <w:pPr>
        <w:spacing w:before="41" w:line="154" w:lineRule="exact"/>
        <w:ind w:left="213" w:right="231"/>
        <w:rPr>
          <w:rFonts w:ascii="Arial"/>
          <w:sz w:val="14"/>
        </w:rPr>
        <w:sectPr w:rsidR="00AE3E37" w:rsidRPr="000C6D56">
          <w:type w:val="continuous"/>
          <w:pgSz w:w="11910" w:h="16840"/>
          <w:pgMar w:top="1740" w:right="600" w:bottom="840" w:left="620" w:header="720" w:footer="720" w:gutter="0"/>
          <w:cols w:space="720"/>
        </w:sectPr>
      </w:pPr>
      <w:r w:rsidRPr="00C326D0">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B21A57">
        <w:rPr>
          <w:rFonts w:ascii="Minion Pro"/>
          <w:b/>
          <w:sz w:val="20"/>
        </w:rPr>
        <w:t>Notes/Comments:</w:t>
      </w:r>
    </w:p>
    <w:p w:rsidR="00AE3E37" w:rsidRDefault="00AE3E37" w:rsidP="006B1843">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6E1" w:rsidRDefault="004C76E1">
      <w:r>
        <w:separator/>
      </w:r>
    </w:p>
  </w:endnote>
  <w:endnote w:type="continuationSeparator" w:id="1">
    <w:p w:rsidR="004C76E1" w:rsidRDefault="004C76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26D0">
    <w:pPr>
      <w:pStyle w:val="BodyText"/>
      <w:spacing w:line="14" w:lineRule="auto"/>
      <w:rPr>
        <w:sz w:val="20"/>
      </w:rPr>
    </w:pPr>
    <w:r w:rsidRPr="00C326D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326D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326D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6E1" w:rsidRDefault="004C76E1">
      <w:r>
        <w:separator/>
      </w:r>
    </w:p>
  </w:footnote>
  <w:footnote w:type="continuationSeparator" w:id="1">
    <w:p w:rsidR="004C76E1" w:rsidRDefault="004C76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326D0">
    <w:pPr>
      <w:pStyle w:val="BodyText"/>
      <w:spacing w:line="14" w:lineRule="auto"/>
      <w:rPr>
        <w:sz w:val="20"/>
      </w:rPr>
    </w:pPr>
    <w:r w:rsidRPr="00C326D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326D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76"/>
  <w:defaultTabStop w:val="720"/>
  <w:drawingGridHorizontalSpacing w:val="110"/>
  <w:displayHorizontalDrawingGridEvery w:val="2"/>
  <w:characterSpacingControl w:val="doNotCompress"/>
  <w:hdrShapeDefaults>
    <o:shapedefaults v:ext="edit" spidmax="29698"/>
    <o:shapelayout v:ext="edit">
      <o:idmap v:ext="edit" data="4"/>
    </o:shapelayout>
  </w:hdrShapeDefaults>
  <w:footnotePr>
    <w:footnote w:id="0"/>
    <w:footnote w:id="1"/>
  </w:footnotePr>
  <w:endnotePr>
    <w:endnote w:id="0"/>
    <w:endnote w:id="1"/>
  </w:endnotePr>
  <w:compat>
    <w:ulTrailSpace/>
  </w:compat>
  <w:rsids>
    <w:rsidRoot w:val="00AE3E37"/>
    <w:rsid w:val="00002428"/>
    <w:rsid w:val="0000422D"/>
    <w:rsid w:val="000C6D56"/>
    <w:rsid w:val="000E115E"/>
    <w:rsid w:val="000E2911"/>
    <w:rsid w:val="001010D5"/>
    <w:rsid w:val="001263DF"/>
    <w:rsid w:val="00131A46"/>
    <w:rsid w:val="001734E7"/>
    <w:rsid w:val="001A341F"/>
    <w:rsid w:val="001E763C"/>
    <w:rsid w:val="0021777F"/>
    <w:rsid w:val="0023589D"/>
    <w:rsid w:val="002554B8"/>
    <w:rsid w:val="00292ED9"/>
    <w:rsid w:val="002F2795"/>
    <w:rsid w:val="00314AFB"/>
    <w:rsid w:val="00377616"/>
    <w:rsid w:val="003B76D9"/>
    <w:rsid w:val="00404E5B"/>
    <w:rsid w:val="00414F7B"/>
    <w:rsid w:val="004355DC"/>
    <w:rsid w:val="00470329"/>
    <w:rsid w:val="004749B4"/>
    <w:rsid w:val="00494130"/>
    <w:rsid w:val="00496D6A"/>
    <w:rsid w:val="004C76E1"/>
    <w:rsid w:val="004D65A2"/>
    <w:rsid w:val="004F3523"/>
    <w:rsid w:val="00544A2D"/>
    <w:rsid w:val="005973B9"/>
    <w:rsid w:val="005B3A56"/>
    <w:rsid w:val="006060CE"/>
    <w:rsid w:val="0063497F"/>
    <w:rsid w:val="006B1843"/>
    <w:rsid w:val="00734097"/>
    <w:rsid w:val="0077606E"/>
    <w:rsid w:val="0078738A"/>
    <w:rsid w:val="007F4D6C"/>
    <w:rsid w:val="00846D1F"/>
    <w:rsid w:val="00862FBA"/>
    <w:rsid w:val="00873DF0"/>
    <w:rsid w:val="008756E6"/>
    <w:rsid w:val="0088268B"/>
    <w:rsid w:val="00884EEA"/>
    <w:rsid w:val="008E3519"/>
    <w:rsid w:val="008E73BB"/>
    <w:rsid w:val="0091195D"/>
    <w:rsid w:val="009B2D44"/>
    <w:rsid w:val="009D07E9"/>
    <w:rsid w:val="00A07E82"/>
    <w:rsid w:val="00A34BC8"/>
    <w:rsid w:val="00A9710C"/>
    <w:rsid w:val="00AA448C"/>
    <w:rsid w:val="00AC11BB"/>
    <w:rsid w:val="00AE3E37"/>
    <w:rsid w:val="00AE6445"/>
    <w:rsid w:val="00B21A57"/>
    <w:rsid w:val="00B74F2B"/>
    <w:rsid w:val="00B91074"/>
    <w:rsid w:val="00BA32CD"/>
    <w:rsid w:val="00C326D0"/>
    <w:rsid w:val="00C33602"/>
    <w:rsid w:val="00C3500C"/>
    <w:rsid w:val="00C87A65"/>
    <w:rsid w:val="00CD55C5"/>
    <w:rsid w:val="00CD6F55"/>
    <w:rsid w:val="00CE7095"/>
    <w:rsid w:val="00D34C01"/>
    <w:rsid w:val="00D62425"/>
    <w:rsid w:val="00D6279B"/>
    <w:rsid w:val="00DE3104"/>
    <w:rsid w:val="00EC28E8"/>
    <w:rsid w:val="00EC5853"/>
    <w:rsid w:val="00F0311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Standard">
    <w:name w:val="Standard"/>
    <w:qFormat/>
    <w:rsid w:val="00EC5853"/>
    <w:pPr>
      <w:widowControl/>
      <w:spacing w:after="200" w:line="276" w:lineRule="auto"/>
    </w:pPr>
    <w:rPr>
      <w:rFonts w:ascii="Calibri" w:eastAsia="Calibri" w:hAnsi="Calibri" w:cs="Times New Roman"/>
      <w:lang w:val="de-DE"/>
    </w:rPr>
  </w:style>
  <w:style w:type="character" w:customStyle="1" w:styleId="shorttext">
    <w:name w:val="short_text"/>
    <w:basedOn w:val="DefaultParagraphFont"/>
    <w:rsid w:val="00734097"/>
  </w:style>
  <w:style w:type="character" w:styleId="Strong">
    <w:name w:val="Strong"/>
    <w:uiPriority w:val="99"/>
    <w:qFormat/>
    <w:rsid w:val="00734097"/>
    <w:rPr>
      <w:b/>
      <w:bCs/>
    </w:rPr>
  </w:style>
  <w:style w:type="character" w:customStyle="1" w:styleId="apple-converted-space">
    <w:name w:val="apple-converted-space"/>
    <w:basedOn w:val="DefaultParagraphFont"/>
    <w:rsid w:val="00734097"/>
  </w:style>
  <w:style w:type="character" w:styleId="Emphasis">
    <w:name w:val="Emphasis"/>
    <w:uiPriority w:val="20"/>
    <w:qFormat/>
    <w:rsid w:val="00734097"/>
    <w:rPr>
      <w:i/>
      <w:iCs/>
    </w:rPr>
  </w:style>
  <w:style w:type="character" w:customStyle="1" w:styleId="st">
    <w:name w:val="st"/>
    <w:basedOn w:val="DefaultParagraphFont"/>
    <w:rsid w:val="00734097"/>
  </w:style>
  <w:style w:type="character" w:customStyle="1" w:styleId="hps">
    <w:name w:val="hps"/>
    <w:basedOn w:val="DefaultParagraphFont"/>
    <w:rsid w:val="00734097"/>
  </w:style>
  <w:style w:type="character" w:customStyle="1" w:styleId="hpsalt-edited">
    <w:name w:val="hps alt-edited"/>
    <w:basedOn w:val="DefaultParagraphFont"/>
    <w:rsid w:val="00CD55C5"/>
  </w:style>
  <w:style w:type="paragraph" w:styleId="HTMLPreformatted">
    <w:name w:val="HTML Preformatted"/>
    <w:basedOn w:val="Normal"/>
    <w:link w:val="HTMLPreformattedChar"/>
    <w:uiPriority w:val="99"/>
    <w:unhideWhenUsed/>
    <w:rsid w:val="00CD55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D55C5"/>
    <w:rPr>
      <w:rFonts w:ascii="Courier New" w:eastAsia="Times New Roman" w:hAnsi="Courier New" w:cs="Courier New"/>
      <w:sz w:val="20"/>
      <w:szCs w:val="20"/>
    </w:rPr>
  </w:style>
  <w:style w:type="paragraph" w:customStyle="1" w:styleId="Default">
    <w:name w:val="Default"/>
    <w:rsid w:val="001A341F"/>
    <w:pPr>
      <w:widowControl/>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semiHidden/>
    <w:unhideWhenUsed/>
    <w:rsid w:val="00AC11BB"/>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1289519">
      <w:bodyDiv w:val="1"/>
      <w:marLeft w:val="0"/>
      <w:marRight w:val="0"/>
      <w:marTop w:val="0"/>
      <w:marBottom w:val="0"/>
      <w:divBdr>
        <w:top w:val="none" w:sz="0" w:space="0" w:color="auto"/>
        <w:left w:val="none" w:sz="0" w:space="0" w:color="auto"/>
        <w:bottom w:val="none" w:sz="0" w:space="0" w:color="auto"/>
        <w:right w:val="none" w:sz="0" w:space="0" w:color="auto"/>
      </w:divBdr>
    </w:div>
    <w:div w:id="282422379">
      <w:bodyDiv w:val="1"/>
      <w:marLeft w:val="0"/>
      <w:marRight w:val="0"/>
      <w:marTop w:val="0"/>
      <w:marBottom w:val="0"/>
      <w:divBdr>
        <w:top w:val="none" w:sz="0" w:space="0" w:color="auto"/>
        <w:left w:val="none" w:sz="0" w:space="0" w:color="auto"/>
        <w:bottom w:val="none" w:sz="0" w:space="0" w:color="auto"/>
        <w:right w:val="none" w:sz="0" w:space="0" w:color="auto"/>
      </w:divBdr>
    </w:div>
    <w:div w:id="38399032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1554162">
      <w:bodyDiv w:val="1"/>
      <w:marLeft w:val="0"/>
      <w:marRight w:val="0"/>
      <w:marTop w:val="0"/>
      <w:marBottom w:val="0"/>
      <w:divBdr>
        <w:top w:val="none" w:sz="0" w:space="0" w:color="auto"/>
        <w:left w:val="none" w:sz="0" w:space="0" w:color="auto"/>
        <w:bottom w:val="none" w:sz="0" w:space="0" w:color="auto"/>
        <w:right w:val="none" w:sz="0" w:space="0" w:color="auto"/>
      </w:divBdr>
    </w:div>
    <w:div w:id="124487241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4721669">
      <w:bodyDiv w:val="1"/>
      <w:marLeft w:val="0"/>
      <w:marRight w:val="0"/>
      <w:marTop w:val="0"/>
      <w:marBottom w:val="0"/>
      <w:divBdr>
        <w:top w:val="none" w:sz="0" w:space="0" w:color="auto"/>
        <w:left w:val="none" w:sz="0" w:space="0" w:color="auto"/>
        <w:bottom w:val="none" w:sz="0" w:space="0" w:color="auto"/>
        <w:right w:val="none" w:sz="0" w:space="0" w:color="auto"/>
      </w:divBdr>
      <w:divsChild>
        <w:div w:id="2020616361">
          <w:marLeft w:val="0"/>
          <w:marRight w:val="0"/>
          <w:marTop w:val="0"/>
          <w:marBottom w:val="0"/>
          <w:divBdr>
            <w:top w:val="none" w:sz="0" w:space="0" w:color="auto"/>
            <w:left w:val="none" w:sz="0" w:space="0" w:color="auto"/>
            <w:bottom w:val="none" w:sz="0" w:space="0" w:color="auto"/>
            <w:right w:val="none" w:sz="0" w:space="0" w:color="auto"/>
          </w:divBdr>
          <w:divsChild>
            <w:div w:id="2014262839">
              <w:marLeft w:val="0"/>
              <w:marRight w:val="0"/>
              <w:marTop w:val="0"/>
              <w:marBottom w:val="0"/>
              <w:divBdr>
                <w:top w:val="none" w:sz="0" w:space="0" w:color="auto"/>
                <w:left w:val="none" w:sz="0" w:space="0" w:color="auto"/>
                <w:bottom w:val="none" w:sz="0" w:space="0" w:color="auto"/>
                <w:right w:val="none" w:sz="0" w:space="0" w:color="auto"/>
              </w:divBdr>
              <w:divsChild>
                <w:div w:id="1420516702">
                  <w:marLeft w:val="0"/>
                  <w:marRight w:val="0"/>
                  <w:marTop w:val="0"/>
                  <w:marBottom w:val="0"/>
                  <w:divBdr>
                    <w:top w:val="none" w:sz="0" w:space="0" w:color="auto"/>
                    <w:left w:val="none" w:sz="0" w:space="0" w:color="auto"/>
                    <w:bottom w:val="none" w:sz="0" w:space="0" w:color="auto"/>
                    <w:right w:val="none" w:sz="0" w:space="0" w:color="auto"/>
                  </w:divBdr>
                  <w:divsChild>
                    <w:div w:id="48720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729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snezana.jovanovic@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4114</CharactersWithSpaces>
  <SharedDoc>false</SharedDoc>
  <HLinks>
    <vt:vector size="12" baseType="variant">
      <vt:variant>
        <vt:i4>1245281</vt:i4>
      </vt:variant>
      <vt:variant>
        <vt:i4>3</vt:i4>
      </vt:variant>
      <vt:variant>
        <vt:i4>0</vt:i4>
      </vt:variant>
      <vt:variant>
        <vt:i4>5</vt:i4>
      </vt:variant>
      <vt:variant>
        <vt:lpwstr>mailto:drsnezana.jovanovic@gmail.com</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MB</cp:lastModifiedBy>
  <cp:revision>2</cp:revision>
  <dcterms:created xsi:type="dcterms:W3CDTF">2020-03-02T12:03:00Z</dcterms:created>
  <dcterms:modified xsi:type="dcterms:W3CDTF">2020-03-02T12:03:00Z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