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2C63" w:rsidRPr="00844EAD" w:rsidRDefault="00E854A9" w:rsidP="00844EAD">
      <w:pPr>
        <w:pStyle w:val="Titre2"/>
        <w:spacing w:before="0" w:after="240"/>
        <w:rPr>
          <w:rFonts w:asciiTheme="minorHAnsi" w:hAnsiTheme="minorHAnsi" w:cstheme="minorHAnsi"/>
          <w:color w:val="auto"/>
          <w:sz w:val="28"/>
          <w:szCs w:val="28"/>
          <w:lang w:val="en-US"/>
        </w:rPr>
      </w:pPr>
      <w:r w:rsidRPr="00844EAD">
        <w:rPr>
          <w:rFonts w:asciiTheme="minorHAnsi" w:hAnsiTheme="minorHAnsi" w:cstheme="minorHAnsi"/>
          <w:color w:val="auto"/>
          <w:sz w:val="28"/>
          <w:szCs w:val="28"/>
          <w:lang w:val="en-US"/>
        </w:rPr>
        <w:t>LIST Bibliographique</w:t>
      </w:r>
    </w:p>
    <w:p w:rsidR="00931030" w:rsidRDefault="00931030" w:rsidP="005F5D7D">
      <w:pPr>
        <w:pStyle w:val="Paragraphedeliste"/>
        <w:numPr>
          <w:ilvl w:val="0"/>
          <w:numId w:val="9"/>
        </w:numPr>
        <w:jc w:val="both"/>
        <w:rPr>
          <w:rFonts w:cstheme="minorHAnsi"/>
          <w:sz w:val="20"/>
          <w:szCs w:val="20"/>
          <w:lang w:val="en-US"/>
        </w:rPr>
        <w:sectPr w:rsidR="00931030" w:rsidSect="009928EB">
          <w:pgSz w:w="11906" w:h="16838"/>
          <w:pgMar w:top="1417" w:right="1417" w:bottom="1417" w:left="1417" w:header="708" w:footer="708" w:gutter="0"/>
          <w:cols w:space="708"/>
          <w:docGrid w:linePitch="360"/>
        </w:sectPr>
      </w:pPr>
    </w:p>
    <w:p w:rsidR="005F5D7D" w:rsidRPr="005F5D7D" w:rsidRDefault="00B7408B" w:rsidP="005F5D7D">
      <w:pPr>
        <w:pStyle w:val="Paragraphedeliste"/>
        <w:numPr>
          <w:ilvl w:val="0"/>
          <w:numId w:val="9"/>
        </w:numPr>
        <w:jc w:val="both"/>
        <w:rPr>
          <w:rFonts w:cstheme="minorHAnsi"/>
          <w:b/>
          <w:bCs/>
          <w:sz w:val="20"/>
          <w:szCs w:val="20"/>
          <w:lang w:val="en-US"/>
        </w:rPr>
      </w:pPr>
      <w:r w:rsidRPr="005F5D7D">
        <w:rPr>
          <w:rFonts w:cstheme="minorHAnsi"/>
          <w:sz w:val="20"/>
          <w:szCs w:val="20"/>
          <w:lang w:val="en-US"/>
        </w:rPr>
        <w:lastRenderedPageBreak/>
        <w:t>Abbas A.K</w:t>
      </w:r>
      <w:r w:rsidR="0021063D" w:rsidRPr="005F5D7D">
        <w:rPr>
          <w:rFonts w:cstheme="minorHAnsi"/>
          <w:sz w:val="20"/>
          <w:szCs w:val="20"/>
          <w:lang w:val="en-US"/>
        </w:rPr>
        <w:t>, Lichtman H and Pilias S. (2012).  Cellular and molecular immunology: innate immunity. Philadelphia: Saunders. P 545.</w:t>
      </w:r>
    </w:p>
    <w:p w:rsidR="0021063D" w:rsidRPr="005F5D7D" w:rsidRDefault="00B7408B" w:rsidP="0074188A">
      <w:pPr>
        <w:pStyle w:val="Paragraphedeliste"/>
        <w:numPr>
          <w:ilvl w:val="0"/>
          <w:numId w:val="9"/>
        </w:numPr>
        <w:jc w:val="both"/>
        <w:rPr>
          <w:rFonts w:cstheme="minorHAnsi"/>
          <w:sz w:val="20"/>
          <w:szCs w:val="20"/>
          <w:lang w:val="en-US"/>
        </w:rPr>
      </w:pPr>
      <w:r w:rsidRPr="005F5D7D">
        <w:rPr>
          <w:rFonts w:cstheme="minorHAnsi"/>
          <w:sz w:val="20"/>
          <w:szCs w:val="20"/>
          <w:lang w:val="en-US"/>
        </w:rPr>
        <w:t xml:space="preserve">Andino A and Hanning I. </w:t>
      </w:r>
      <w:r w:rsidR="0021063D" w:rsidRPr="005F5D7D">
        <w:rPr>
          <w:rFonts w:cstheme="minorHAnsi"/>
          <w:sz w:val="20"/>
          <w:szCs w:val="20"/>
          <w:lang w:val="en-US"/>
        </w:rPr>
        <w:t>(2015).</w:t>
      </w:r>
      <w:r w:rsidR="0021063D" w:rsidRPr="005F5D7D">
        <w:rPr>
          <w:rFonts w:cstheme="minorHAnsi"/>
          <w:i/>
          <w:iCs/>
          <w:sz w:val="20"/>
          <w:szCs w:val="20"/>
          <w:lang w:val="en-US"/>
        </w:rPr>
        <w:t xml:space="preserve"> Salmonella enterica</w:t>
      </w:r>
      <w:r w:rsidR="0021063D" w:rsidRPr="005F5D7D">
        <w:rPr>
          <w:rFonts w:cstheme="minorHAnsi"/>
          <w:sz w:val="20"/>
          <w:szCs w:val="20"/>
          <w:lang w:val="en-US"/>
        </w:rPr>
        <w:t xml:space="preserve">: Survival, Colonization, and Virulence Differences among Serovars. </w:t>
      </w:r>
      <w:r w:rsidR="0021063D" w:rsidRPr="005F5D7D">
        <w:rPr>
          <w:rFonts w:cstheme="minorHAnsi"/>
          <w:i/>
          <w:iCs/>
          <w:sz w:val="20"/>
          <w:szCs w:val="20"/>
          <w:lang w:val="en-US"/>
        </w:rPr>
        <w:t>The Scientific World Journal</w:t>
      </w:r>
      <w:r w:rsidR="0021063D" w:rsidRPr="005F5D7D">
        <w:rPr>
          <w:rFonts w:cstheme="minorHAnsi"/>
          <w:sz w:val="20"/>
          <w:szCs w:val="20"/>
          <w:lang w:val="en-US"/>
        </w:rPr>
        <w:t>.</w:t>
      </w:r>
      <w:r w:rsidR="0074188A" w:rsidRPr="0074188A">
        <w:rPr>
          <w:sz w:val="20"/>
          <w:szCs w:val="20"/>
          <w:lang w:val="en-US"/>
        </w:rPr>
        <w:t xml:space="preserve">  2015:</w:t>
      </w:r>
      <w:r w:rsidR="0074188A">
        <w:rPr>
          <w:sz w:val="20"/>
          <w:szCs w:val="20"/>
          <w:lang w:val="en-US"/>
        </w:rPr>
        <w:t xml:space="preserve"> </w:t>
      </w:r>
      <w:r w:rsidR="0074188A" w:rsidRPr="0074188A">
        <w:rPr>
          <w:sz w:val="20"/>
          <w:szCs w:val="20"/>
          <w:lang w:val="en-US"/>
        </w:rPr>
        <w:t>520179. doi: 10.1155/2015/520179.</w:t>
      </w:r>
    </w:p>
    <w:p w:rsidR="0021063D" w:rsidRPr="005F5D7D" w:rsidRDefault="0021063D" w:rsidP="005F5D7D">
      <w:pPr>
        <w:pStyle w:val="Paragraphedeliste"/>
        <w:numPr>
          <w:ilvl w:val="0"/>
          <w:numId w:val="9"/>
        </w:numPr>
        <w:jc w:val="both"/>
        <w:rPr>
          <w:rFonts w:cstheme="minorHAnsi"/>
          <w:b/>
          <w:bCs/>
          <w:sz w:val="20"/>
          <w:szCs w:val="20"/>
          <w:lang w:val="en-US"/>
        </w:rPr>
      </w:pPr>
      <w:r w:rsidRPr="0074188A">
        <w:rPr>
          <w:rFonts w:cstheme="minorHAnsi"/>
          <w:sz w:val="20"/>
          <w:szCs w:val="20"/>
          <w:lang w:val="en-US"/>
        </w:rPr>
        <w:t xml:space="preserve">Arabyan N, Park D, Foutouhi S, Wies A.M, Huang B.C, Williams C.C, Desai P, Shah J, Jeannotte R, Kong N, Lebrilla C.B and Weimer B.C. (2016). </w:t>
      </w:r>
      <w:r w:rsidRPr="005F5D7D">
        <w:rPr>
          <w:rFonts w:cstheme="minorHAnsi"/>
          <w:i/>
          <w:iCs/>
          <w:sz w:val="20"/>
          <w:szCs w:val="20"/>
          <w:lang w:val="en-US"/>
        </w:rPr>
        <w:t>Salmonella</w:t>
      </w:r>
      <w:r w:rsidRPr="005F5D7D">
        <w:rPr>
          <w:rFonts w:cstheme="minorHAnsi"/>
          <w:sz w:val="20"/>
          <w:szCs w:val="20"/>
          <w:lang w:val="en-US"/>
        </w:rPr>
        <w:t xml:space="preserve"> degrades the host glycocalyx leading to altered Infection and glycan remodeling. </w:t>
      </w:r>
      <w:r w:rsidRPr="005F5D7D">
        <w:rPr>
          <w:rFonts w:cstheme="minorHAnsi"/>
          <w:i/>
          <w:iCs/>
          <w:sz w:val="20"/>
          <w:szCs w:val="20"/>
          <w:lang w:val="en-US"/>
        </w:rPr>
        <w:t>Scientific Reports</w:t>
      </w:r>
      <w:r w:rsidRPr="005F5D7D">
        <w:rPr>
          <w:rFonts w:cstheme="minorHAnsi"/>
          <w:sz w:val="20"/>
          <w:szCs w:val="20"/>
          <w:lang w:val="en-US"/>
        </w:rPr>
        <w:t>.</w:t>
      </w:r>
      <w:r w:rsidR="00874F02" w:rsidRPr="005F5D7D">
        <w:rPr>
          <w:rFonts w:cstheme="minorHAnsi"/>
          <w:sz w:val="20"/>
          <w:szCs w:val="20"/>
          <w:lang w:val="en-US"/>
        </w:rPr>
        <w:t xml:space="preserve"> </w:t>
      </w:r>
      <w:r w:rsidRPr="005F5D7D">
        <w:rPr>
          <w:rFonts w:cstheme="minorHAnsi"/>
          <w:sz w:val="20"/>
          <w:szCs w:val="20"/>
          <w:lang w:val="en-US"/>
        </w:rPr>
        <w:t>6, 1-11.</w:t>
      </w:r>
    </w:p>
    <w:p w:rsidR="0021063D" w:rsidRPr="005F5D7D" w:rsidRDefault="0021063D" w:rsidP="005F5D7D">
      <w:pPr>
        <w:pStyle w:val="Paragraphedeliste"/>
        <w:numPr>
          <w:ilvl w:val="0"/>
          <w:numId w:val="9"/>
        </w:numPr>
        <w:jc w:val="both"/>
        <w:rPr>
          <w:rFonts w:cstheme="minorHAnsi"/>
          <w:b/>
          <w:bCs/>
          <w:sz w:val="20"/>
          <w:szCs w:val="20"/>
          <w:lang w:val="en-US"/>
        </w:rPr>
      </w:pPr>
      <w:r w:rsidRPr="005F5D7D">
        <w:rPr>
          <w:rFonts w:cstheme="minorHAnsi"/>
          <w:sz w:val="20"/>
          <w:szCs w:val="20"/>
          <w:lang w:val="en-US"/>
        </w:rPr>
        <w:t xml:space="preserve">Baker P.J, Boucher D, Bierschenk D, Tebartz C, Whitney P.G, D’Silva D.B, Tanzer M.C, Monteleone M, Robertson A.A.B, Cooper M.A, Diaz S.A, Herold M.J, Bedoui S, Schroder K and Masters, S.L. (2015). NLRP3  inflammasome activation  downstream  of cytoplasmic  LPS  recognition  by  both  caspase-4 and  caspase-5. </w:t>
      </w:r>
      <w:r w:rsidR="00B7408B" w:rsidRPr="005F5D7D">
        <w:rPr>
          <w:rFonts w:cstheme="minorHAnsi"/>
          <w:i/>
          <w:iCs/>
          <w:sz w:val="20"/>
          <w:szCs w:val="20"/>
          <w:lang w:val="en-US"/>
        </w:rPr>
        <w:t>European Journal of I</w:t>
      </w:r>
      <w:r w:rsidRPr="005F5D7D">
        <w:rPr>
          <w:rFonts w:cstheme="minorHAnsi"/>
          <w:i/>
          <w:iCs/>
          <w:sz w:val="20"/>
          <w:szCs w:val="20"/>
          <w:lang w:val="en-US"/>
        </w:rPr>
        <w:t>mmunology</w:t>
      </w:r>
      <w:r w:rsidRPr="005F5D7D">
        <w:rPr>
          <w:rFonts w:cstheme="minorHAnsi"/>
          <w:sz w:val="20"/>
          <w:szCs w:val="20"/>
          <w:lang w:val="en-US"/>
        </w:rPr>
        <w:t>. 45, 2918–2926.</w:t>
      </w:r>
    </w:p>
    <w:p w:rsidR="0021063D" w:rsidRPr="005F5D7D" w:rsidRDefault="0021063D" w:rsidP="005F5D7D">
      <w:pPr>
        <w:pStyle w:val="Paragraphedeliste"/>
        <w:numPr>
          <w:ilvl w:val="0"/>
          <w:numId w:val="9"/>
        </w:numPr>
        <w:jc w:val="both"/>
        <w:rPr>
          <w:rFonts w:cstheme="minorHAnsi"/>
          <w:b/>
          <w:bCs/>
          <w:sz w:val="20"/>
          <w:szCs w:val="20"/>
          <w:lang w:val="en-US"/>
        </w:rPr>
      </w:pPr>
      <w:r w:rsidRPr="005F5D7D">
        <w:rPr>
          <w:rFonts w:cstheme="minorHAnsi"/>
          <w:sz w:val="20"/>
          <w:szCs w:val="20"/>
          <w:lang w:val="en-US"/>
        </w:rPr>
        <w:t xml:space="preserve">Barbosa F.O, Neto O.C.F, Batista D.F.A,  Almeida A.M, Rabio M.C,  Alves  L.B.R, Vasconcelos R.O, Barrow P.A and Junior AB. (2017). Contribution of flagella and motility to gut colonization and pathogenicity of </w:t>
      </w:r>
      <w:r w:rsidRPr="005F5D7D">
        <w:rPr>
          <w:rFonts w:cstheme="minorHAnsi"/>
          <w:i/>
          <w:iCs/>
          <w:sz w:val="20"/>
          <w:szCs w:val="20"/>
          <w:lang w:val="en-US"/>
        </w:rPr>
        <w:t>Salmonella Enteritidis</w:t>
      </w:r>
      <w:r w:rsidRPr="005F5D7D">
        <w:rPr>
          <w:rFonts w:cstheme="minorHAnsi"/>
          <w:sz w:val="20"/>
          <w:szCs w:val="20"/>
          <w:lang w:val="en-US"/>
        </w:rPr>
        <w:t xml:space="preserve"> in the chicken. </w:t>
      </w:r>
      <w:r w:rsidRPr="005F5D7D">
        <w:rPr>
          <w:rFonts w:cstheme="minorHAnsi"/>
          <w:i/>
          <w:iCs/>
          <w:sz w:val="20"/>
          <w:szCs w:val="20"/>
          <w:lang w:val="en-US"/>
        </w:rPr>
        <w:t>Barazilian Journal of Microbiology.</w:t>
      </w:r>
      <w:r w:rsidRPr="005F5D7D">
        <w:rPr>
          <w:rFonts w:cstheme="minorHAnsi"/>
          <w:sz w:val="20"/>
          <w:szCs w:val="20"/>
          <w:lang w:val="en-US"/>
        </w:rPr>
        <w:t>260, 1-6.</w:t>
      </w:r>
    </w:p>
    <w:p w:rsidR="0021063D" w:rsidRPr="005F5D7D" w:rsidRDefault="0021063D" w:rsidP="005F5D7D">
      <w:pPr>
        <w:pStyle w:val="Paragraphedeliste"/>
        <w:numPr>
          <w:ilvl w:val="0"/>
          <w:numId w:val="9"/>
        </w:numPr>
        <w:jc w:val="both"/>
        <w:rPr>
          <w:rFonts w:cstheme="minorHAnsi"/>
          <w:b/>
          <w:bCs/>
          <w:sz w:val="20"/>
          <w:szCs w:val="20"/>
          <w:lang w:val="en-US"/>
        </w:rPr>
      </w:pPr>
      <w:r w:rsidRPr="005F5D7D">
        <w:rPr>
          <w:rFonts w:cstheme="minorHAnsi"/>
          <w:sz w:val="20"/>
          <w:szCs w:val="20"/>
          <w:lang w:val="en-US"/>
        </w:rPr>
        <w:t xml:space="preserve">Barison N, Gupta R, and Kolbe M. (2013). A sophisticated multi-step secretion mechanism: how the type 3 secretion system is regulated. </w:t>
      </w:r>
      <w:r w:rsidRPr="005F5D7D">
        <w:rPr>
          <w:rFonts w:cstheme="minorHAnsi"/>
          <w:i/>
          <w:iCs/>
          <w:sz w:val="20"/>
          <w:szCs w:val="20"/>
          <w:lang w:val="en-US"/>
        </w:rPr>
        <w:t>Cellular Microbiology</w:t>
      </w:r>
      <w:r w:rsidRPr="005F5D7D">
        <w:rPr>
          <w:rFonts w:cstheme="minorHAnsi"/>
          <w:sz w:val="20"/>
          <w:szCs w:val="20"/>
          <w:lang w:val="en-US"/>
        </w:rPr>
        <w:t>.15, 1809-1817</w:t>
      </w:r>
    </w:p>
    <w:p w:rsidR="0021063D" w:rsidRPr="005F5D7D" w:rsidRDefault="0021063D" w:rsidP="005F5D7D">
      <w:pPr>
        <w:pStyle w:val="Paragraphedeliste"/>
        <w:numPr>
          <w:ilvl w:val="0"/>
          <w:numId w:val="9"/>
        </w:numPr>
        <w:jc w:val="both"/>
        <w:rPr>
          <w:rFonts w:cstheme="minorHAnsi"/>
          <w:b/>
          <w:bCs/>
          <w:sz w:val="20"/>
          <w:szCs w:val="20"/>
          <w:lang w:val="en-US"/>
        </w:rPr>
      </w:pPr>
      <w:r w:rsidRPr="005F5D7D">
        <w:rPr>
          <w:rFonts w:cstheme="minorHAnsi"/>
          <w:sz w:val="20"/>
          <w:szCs w:val="20"/>
          <w:lang w:val="en-US"/>
        </w:rPr>
        <w:t xml:space="preserve">Behnsen J, Perz-Lopez A, Nuccio S.P, Raffatello M. (2014). Exploiting host immunity: the </w:t>
      </w:r>
      <w:r w:rsidRPr="005F5D7D">
        <w:rPr>
          <w:rFonts w:cstheme="minorHAnsi"/>
          <w:i/>
          <w:iCs/>
          <w:sz w:val="20"/>
          <w:szCs w:val="20"/>
          <w:lang w:val="en-US"/>
        </w:rPr>
        <w:t>salmonella</w:t>
      </w:r>
      <w:r w:rsidRPr="005F5D7D">
        <w:rPr>
          <w:rFonts w:cstheme="minorHAnsi"/>
          <w:sz w:val="20"/>
          <w:szCs w:val="20"/>
          <w:lang w:val="en-US"/>
        </w:rPr>
        <w:t xml:space="preserve"> paradigm. </w:t>
      </w:r>
      <w:r w:rsidRPr="005F5D7D">
        <w:rPr>
          <w:rFonts w:cstheme="minorHAnsi"/>
          <w:i/>
          <w:iCs/>
          <w:sz w:val="20"/>
          <w:szCs w:val="20"/>
          <w:lang w:val="en-US"/>
        </w:rPr>
        <w:t>Trends in Immunology</w:t>
      </w:r>
      <w:r w:rsidRPr="005F5D7D">
        <w:rPr>
          <w:rFonts w:cstheme="minorHAnsi"/>
          <w:sz w:val="20"/>
          <w:szCs w:val="20"/>
          <w:lang w:val="en-US"/>
        </w:rPr>
        <w:t>.</w:t>
      </w:r>
      <w:r w:rsidR="00874F02" w:rsidRPr="005F5D7D">
        <w:rPr>
          <w:rFonts w:cstheme="minorHAnsi"/>
          <w:sz w:val="20"/>
          <w:szCs w:val="20"/>
          <w:lang w:val="en-US"/>
        </w:rPr>
        <w:t xml:space="preserve"> </w:t>
      </w:r>
      <w:r w:rsidRPr="005F5D7D">
        <w:rPr>
          <w:rFonts w:cstheme="minorHAnsi"/>
          <w:sz w:val="20"/>
          <w:szCs w:val="20"/>
          <w:lang w:val="en-US"/>
        </w:rPr>
        <w:t>36, 1-9.</w:t>
      </w:r>
    </w:p>
    <w:p w:rsidR="0021063D" w:rsidRPr="005F5D7D" w:rsidRDefault="0021063D" w:rsidP="005F5D7D">
      <w:pPr>
        <w:pStyle w:val="Paragraphedeliste"/>
        <w:numPr>
          <w:ilvl w:val="0"/>
          <w:numId w:val="9"/>
        </w:numPr>
        <w:jc w:val="both"/>
        <w:rPr>
          <w:rFonts w:cstheme="minorHAnsi"/>
          <w:b/>
          <w:bCs/>
          <w:sz w:val="20"/>
          <w:szCs w:val="20"/>
          <w:lang w:val="en-US"/>
        </w:rPr>
      </w:pPr>
      <w:r w:rsidRPr="005F5D7D">
        <w:rPr>
          <w:rFonts w:cstheme="minorHAnsi"/>
          <w:sz w:val="20"/>
          <w:szCs w:val="20"/>
          <w:lang w:val="en-US"/>
        </w:rPr>
        <w:t xml:space="preserve">Beral-Bayard, J and Ramos-Morales, F. (2018). Molecular mechanism used by </w:t>
      </w:r>
      <w:r w:rsidRPr="005F5D7D">
        <w:rPr>
          <w:rFonts w:cstheme="minorHAnsi"/>
          <w:i/>
          <w:iCs/>
          <w:sz w:val="20"/>
          <w:szCs w:val="20"/>
          <w:lang w:val="en-US"/>
        </w:rPr>
        <w:t xml:space="preserve">salmonella </w:t>
      </w:r>
      <w:r w:rsidRPr="005F5D7D">
        <w:rPr>
          <w:rFonts w:cstheme="minorHAnsi"/>
          <w:sz w:val="20"/>
          <w:szCs w:val="20"/>
          <w:lang w:val="en-US"/>
        </w:rPr>
        <w:t xml:space="preserve">to invade immune system. </w:t>
      </w:r>
      <w:r w:rsidRPr="005F5D7D">
        <w:rPr>
          <w:rFonts w:cstheme="minorHAnsi"/>
          <w:i/>
          <w:iCs/>
          <w:sz w:val="20"/>
          <w:szCs w:val="20"/>
          <w:lang w:val="en-US"/>
        </w:rPr>
        <w:t>Current Molecular Biology.</w:t>
      </w:r>
      <w:r w:rsidRPr="005F5D7D">
        <w:rPr>
          <w:rFonts w:cstheme="minorHAnsi"/>
          <w:sz w:val="20"/>
          <w:szCs w:val="20"/>
          <w:lang w:val="en-US"/>
        </w:rPr>
        <w:t xml:space="preserve"> 25, 133-167.</w:t>
      </w:r>
    </w:p>
    <w:p w:rsidR="0021063D" w:rsidRPr="005F5D7D" w:rsidRDefault="0021063D" w:rsidP="005F5D7D">
      <w:pPr>
        <w:pStyle w:val="Paragraphedeliste"/>
        <w:numPr>
          <w:ilvl w:val="0"/>
          <w:numId w:val="9"/>
        </w:numPr>
        <w:jc w:val="both"/>
        <w:rPr>
          <w:rFonts w:cstheme="minorHAnsi"/>
          <w:b/>
          <w:bCs/>
          <w:sz w:val="20"/>
          <w:szCs w:val="20"/>
          <w:lang w:val="en-US"/>
        </w:rPr>
      </w:pPr>
      <w:r w:rsidRPr="005F5D7D">
        <w:rPr>
          <w:rFonts w:cstheme="minorHAnsi"/>
          <w:sz w:val="20"/>
          <w:szCs w:val="20"/>
          <w:lang w:val="en-US"/>
        </w:rPr>
        <w:t xml:space="preserve">Bierschenk D, Boucher D and Schorder K. (2016). </w:t>
      </w:r>
      <w:r w:rsidRPr="005F5D7D">
        <w:rPr>
          <w:rFonts w:cstheme="minorHAnsi"/>
          <w:i/>
          <w:iCs/>
          <w:sz w:val="20"/>
          <w:szCs w:val="20"/>
          <w:lang w:val="en-US"/>
        </w:rPr>
        <w:t>Salmonella</w:t>
      </w:r>
      <w:r w:rsidRPr="005F5D7D">
        <w:rPr>
          <w:rFonts w:cstheme="minorHAnsi"/>
          <w:sz w:val="20"/>
          <w:szCs w:val="20"/>
          <w:lang w:val="en-US"/>
        </w:rPr>
        <w:t xml:space="preserve">- induced </w:t>
      </w:r>
      <w:r w:rsidRPr="005F5D7D">
        <w:rPr>
          <w:rFonts w:cstheme="minorHAnsi"/>
          <w:sz w:val="20"/>
          <w:szCs w:val="20"/>
          <w:lang w:val="en-US"/>
        </w:rPr>
        <w:lastRenderedPageBreak/>
        <w:t xml:space="preserve">inflammasome activation in humans. </w:t>
      </w:r>
      <w:r w:rsidRPr="005F5D7D">
        <w:rPr>
          <w:rFonts w:cstheme="minorHAnsi"/>
          <w:i/>
          <w:iCs/>
          <w:sz w:val="20"/>
          <w:szCs w:val="20"/>
          <w:lang w:val="en-US"/>
        </w:rPr>
        <w:t>Molecular Immunology</w:t>
      </w:r>
      <w:r w:rsidRPr="005F5D7D">
        <w:rPr>
          <w:rFonts w:cstheme="minorHAnsi"/>
          <w:sz w:val="20"/>
          <w:szCs w:val="20"/>
          <w:lang w:val="en-US"/>
        </w:rPr>
        <w:t>. 86, 38-43.</w:t>
      </w:r>
    </w:p>
    <w:p w:rsidR="0021063D" w:rsidRPr="005F5D7D" w:rsidRDefault="0021063D" w:rsidP="005F5D7D">
      <w:pPr>
        <w:pStyle w:val="Paragraphedeliste"/>
        <w:numPr>
          <w:ilvl w:val="0"/>
          <w:numId w:val="9"/>
        </w:numPr>
        <w:jc w:val="both"/>
        <w:rPr>
          <w:rFonts w:cstheme="minorHAnsi"/>
          <w:b/>
          <w:bCs/>
          <w:sz w:val="20"/>
          <w:szCs w:val="20"/>
          <w:lang w:val="en-US"/>
        </w:rPr>
      </w:pPr>
      <w:r w:rsidRPr="005F5D7D">
        <w:rPr>
          <w:rFonts w:cstheme="minorHAnsi"/>
          <w:sz w:val="20"/>
          <w:szCs w:val="20"/>
          <w:lang w:val="en-US"/>
        </w:rPr>
        <w:t xml:space="preserve">Boumart Z, Velge P and Wiedemann A. (2014). Multiple invasion mechanisms and different intracellular Behaviors: a new vision of </w:t>
      </w:r>
      <w:r w:rsidRPr="005F5D7D">
        <w:rPr>
          <w:rFonts w:cstheme="minorHAnsi"/>
          <w:i/>
          <w:iCs/>
          <w:sz w:val="20"/>
          <w:szCs w:val="20"/>
          <w:lang w:val="en-US"/>
        </w:rPr>
        <w:t>Salmonella</w:t>
      </w:r>
      <w:r w:rsidRPr="005F5D7D">
        <w:rPr>
          <w:rFonts w:cstheme="minorHAnsi"/>
          <w:sz w:val="20"/>
          <w:szCs w:val="20"/>
          <w:lang w:val="en-US"/>
        </w:rPr>
        <w:t xml:space="preserve">-host cell interaction. </w:t>
      </w:r>
      <w:r w:rsidRPr="005F5D7D">
        <w:rPr>
          <w:rFonts w:cstheme="minorHAnsi"/>
          <w:i/>
          <w:iCs/>
          <w:sz w:val="20"/>
          <w:szCs w:val="20"/>
          <w:lang w:val="en-US"/>
        </w:rPr>
        <w:t>Federation of European microbiological societies</w:t>
      </w:r>
      <w:r w:rsidRPr="005F5D7D">
        <w:rPr>
          <w:rFonts w:cstheme="minorHAnsi"/>
          <w:sz w:val="20"/>
          <w:szCs w:val="20"/>
          <w:lang w:val="en-US"/>
        </w:rPr>
        <w:t xml:space="preserve"> 361, 1-7</w:t>
      </w:r>
    </w:p>
    <w:p w:rsidR="0021063D" w:rsidRPr="005F5D7D" w:rsidRDefault="0021063D" w:rsidP="005F5D7D">
      <w:pPr>
        <w:pStyle w:val="Paragraphedeliste"/>
        <w:numPr>
          <w:ilvl w:val="0"/>
          <w:numId w:val="9"/>
        </w:numPr>
        <w:jc w:val="both"/>
        <w:rPr>
          <w:rFonts w:cstheme="minorHAnsi"/>
          <w:b/>
          <w:bCs/>
          <w:sz w:val="20"/>
          <w:szCs w:val="20"/>
          <w:lang w:val="en-US"/>
        </w:rPr>
      </w:pPr>
      <w:r w:rsidRPr="005F5D7D">
        <w:rPr>
          <w:rFonts w:cstheme="minorHAnsi"/>
          <w:sz w:val="20"/>
          <w:szCs w:val="20"/>
          <w:lang w:val="en-US"/>
        </w:rPr>
        <w:t xml:space="preserve">Broz P, Ruby T, Belhocine K, Bouley D.M, Kayagaki N, Dixit V.M and Monack D.M. (2012).  Caspase-11 increases susceptibility to </w:t>
      </w:r>
      <w:r w:rsidRPr="005F5D7D">
        <w:rPr>
          <w:rFonts w:cstheme="minorHAnsi"/>
          <w:i/>
          <w:iCs/>
          <w:sz w:val="20"/>
          <w:szCs w:val="20"/>
          <w:lang w:val="en-US"/>
        </w:rPr>
        <w:t>Salmonella</w:t>
      </w:r>
      <w:r w:rsidRPr="005F5D7D">
        <w:rPr>
          <w:rFonts w:cstheme="minorHAnsi"/>
          <w:sz w:val="20"/>
          <w:szCs w:val="20"/>
          <w:lang w:val="en-US"/>
        </w:rPr>
        <w:t xml:space="preserve"> infection in the absence of caspase-1. </w:t>
      </w:r>
      <w:r w:rsidRPr="005F5D7D">
        <w:rPr>
          <w:rFonts w:cstheme="minorHAnsi"/>
          <w:i/>
          <w:iCs/>
          <w:sz w:val="20"/>
          <w:szCs w:val="20"/>
          <w:lang w:val="en-US"/>
        </w:rPr>
        <w:t>Nature</w:t>
      </w:r>
      <w:r w:rsidRPr="005F5D7D">
        <w:rPr>
          <w:rFonts w:cstheme="minorHAnsi"/>
          <w:sz w:val="20"/>
          <w:szCs w:val="20"/>
          <w:lang w:val="en-US"/>
        </w:rPr>
        <w:t>. 490, 288–291</w:t>
      </w:r>
    </w:p>
    <w:p w:rsidR="0021063D" w:rsidRPr="005F5D7D" w:rsidRDefault="0021063D" w:rsidP="005F5D7D">
      <w:pPr>
        <w:pStyle w:val="Paragraphedeliste"/>
        <w:numPr>
          <w:ilvl w:val="0"/>
          <w:numId w:val="9"/>
        </w:numPr>
        <w:jc w:val="both"/>
        <w:rPr>
          <w:rFonts w:cstheme="minorHAnsi"/>
          <w:b/>
          <w:bCs/>
          <w:sz w:val="20"/>
          <w:szCs w:val="20"/>
          <w:lang w:val="en-US"/>
        </w:rPr>
      </w:pPr>
      <w:r w:rsidRPr="005F5D7D">
        <w:rPr>
          <w:rFonts w:cstheme="minorHAnsi"/>
          <w:sz w:val="20"/>
          <w:szCs w:val="20"/>
          <w:lang w:val="en-US"/>
        </w:rPr>
        <w:t xml:space="preserve">Bueno S.M, Riquelme S.A, Riedel C.A and Kalergis A.M. (2012). Mechanisms used by virulent </w:t>
      </w:r>
      <w:r w:rsidRPr="005F5D7D">
        <w:rPr>
          <w:rFonts w:cstheme="minorHAnsi"/>
          <w:i/>
          <w:iCs/>
          <w:sz w:val="20"/>
          <w:szCs w:val="20"/>
          <w:lang w:val="en-US"/>
        </w:rPr>
        <w:t>Salmonella</w:t>
      </w:r>
      <w:r w:rsidRPr="005F5D7D">
        <w:rPr>
          <w:rFonts w:cstheme="minorHAnsi"/>
          <w:sz w:val="20"/>
          <w:szCs w:val="20"/>
          <w:lang w:val="en-US"/>
        </w:rPr>
        <w:t xml:space="preserve"> to impair dendritic cell function and evade adaptive immunity. </w:t>
      </w:r>
      <w:r w:rsidRPr="005F5D7D">
        <w:rPr>
          <w:rFonts w:cstheme="minorHAnsi"/>
          <w:i/>
          <w:iCs/>
          <w:sz w:val="20"/>
          <w:szCs w:val="20"/>
          <w:lang w:val="en-US"/>
        </w:rPr>
        <w:t>Immunology</w:t>
      </w:r>
      <w:r w:rsidRPr="005F5D7D">
        <w:rPr>
          <w:rFonts w:cstheme="minorHAnsi"/>
          <w:sz w:val="20"/>
          <w:szCs w:val="20"/>
          <w:lang w:val="en-US"/>
        </w:rPr>
        <w:t>. 137, 28-36</w:t>
      </w:r>
    </w:p>
    <w:p w:rsidR="0021063D" w:rsidRPr="005F5D7D" w:rsidRDefault="0021063D" w:rsidP="005F5D7D">
      <w:pPr>
        <w:pStyle w:val="Paragraphedeliste"/>
        <w:numPr>
          <w:ilvl w:val="0"/>
          <w:numId w:val="9"/>
        </w:numPr>
        <w:jc w:val="both"/>
        <w:rPr>
          <w:rFonts w:cstheme="minorHAnsi"/>
          <w:b/>
          <w:bCs/>
          <w:sz w:val="20"/>
          <w:szCs w:val="20"/>
          <w:lang w:val="en-US"/>
        </w:rPr>
      </w:pPr>
      <w:r w:rsidRPr="005F5D7D">
        <w:rPr>
          <w:rFonts w:cstheme="minorHAnsi"/>
          <w:sz w:val="20"/>
          <w:szCs w:val="20"/>
          <w:lang w:val="en-US"/>
        </w:rPr>
        <w:t xml:space="preserve">Campion F, Cao G, kastanis G , Leon M.S , Begriming A.M.M , Rodriguez D.D.P , Allard  M.W and Falcào J.P. (2017). Draft genome sequences of 256 </w:t>
      </w:r>
      <w:r w:rsidRPr="005F5D7D">
        <w:rPr>
          <w:rFonts w:cstheme="minorHAnsi"/>
          <w:i/>
          <w:iCs/>
          <w:sz w:val="20"/>
          <w:szCs w:val="20"/>
          <w:lang w:val="en-US"/>
        </w:rPr>
        <w:t>salmonella enterica</w:t>
      </w:r>
      <w:r w:rsidRPr="005F5D7D">
        <w:rPr>
          <w:rFonts w:cstheme="minorHAnsi"/>
          <w:sz w:val="20"/>
          <w:szCs w:val="20"/>
          <w:lang w:val="en-US"/>
        </w:rPr>
        <w:t xml:space="preserve"> subsp.</w:t>
      </w:r>
      <w:r w:rsidRPr="005F5D7D">
        <w:rPr>
          <w:rFonts w:cstheme="minorHAnsi"/>
          <w:i/>
          <w:iCs/>
          <w:sz w:val="20"/>
          <w:szCs w:val="20"/>
          <w:lang w:val="en-US"/>
        </w:rPr>
        <w:t xml:space="preserve"> Enterica </w:t>
      </w:r>
      <w:r w:rsidRPr="005F5D7D">
        <w:rPr>
          <w:rFonts w:cstheme="minorHAnsi"/>
          <w:sz w:val="20"/>
          <w:szCs w:val="20"/>
          <w:lang w:val="en-US"/>
        </w:rPr>
        <w:t>sérovars</w:t>
      </w:r>
      <w:r w:rsidRPr="005F5D7D">
        <w:rPr>
          <w:rFonts w:cstheme="minorHAnsi"/>
          <w:i/>
          <w:iCs/>
          <w:sz w:val="20"/>
          <w:szCs w:val="20"/>
          <w:lang w:val="en-US"/>
        </w:rPr>
        <w:t xml:space="preserve"> enteritidis</w:t>
      </w:r>
      <w:r w:rsidRPr="005F5D7D">
        <w:rPr>
          <w:rFonts w:cstheme="minorHAnsi"/>
          <w:sz w:val="20"/>
          <w:szCs w:val="20"/>
          <w:lang w:val="en-US"/>
        </w:rPr>
        <w:t xml:space="preserve"> strains isolated from humain, food, chicken, and fram environmental. </w:t>
      </w:r>
      <w:r w:rsidRPr="005F5D7D">
        <w:rPr>
          <w:rFonts w:cstheme="minorHAnsi"/>
          <w:i/>
          <w:iCs/>
          <w:sz w:val="20"/>
          <w:szCs w:val="20"/>
          <w:lang w:val="en-US"/>
        </w:rPr>
        <w:t>American Society for</w:t>
      </w:r>
      <w:r w:rsidRPr="005F5D7D">
        <w:rPr>
          <w:rFonts w:cstheme="minorHAnsi"/>
          <w:sz w:val="20"/>
          <w:szCs w:val="20"/>
          <w:lang w:val="en-US"/>
        </w:rPr>
        <w:t xml:space="preserve"> </w:t>
      </w:r>
      <w:r w:rsidRPr="005F5D7D">
        <w:rPr>
          <w:rFonts w:cstheme="minorHAnsi"/>
          <w:i/>
          <w:iCs/>
          <w:sz w:val="20"/>
          <w:szCs w:val="20"/>
          <w:lang w:val="en-US"/>
        </w:rPr>
        <w:t>Microbiology</w:t>
      </w:r>
      <w:r w:rsidRPr="005F5D7D">
        <w:rPr>
          <w:rFonts w:cstheme="minorHAnsi"/>
          <w:sz w:val="20"/>
          <w:szCs w:val="20"/>
          <w:lang w:val="en-US"/>
        </w:rPr>
        <w:t>.</w:t>
      </w:r>
      <w:r w:rsidRPr="005F5D7D">
        <w:rPr>
          <w:rFonts w:cstheme="minorHAnsi"/>
          <w:i/>
          <w:iCs/>
          <w:sz w:val="20"/>
          <w:szCs w:val="20"/>
          <w:lang w:val="en-US"/>
        </w:rPr>
        <w:t xml:space="preserve"> </w:t>
      </w:r>
      <w:r w:rsidRPr="005F5D7D">
        <w:rPr>
          <w:rFonts w:cstheme="minorHAnsi"/>
          <w:sz w:val="20"/>
          <w:szCs w:val="20"/>
          <w:lang w:val="en-US"/>
        </w:rPr>
        <w:t>8, 1-6</w:t>
      </w:r>
    </w:p>
    <w:p w:rsidR="0021063D" w:rsidRPr="005F5D7D" w:rsidRDefault="0021063D" w:rsidP="005F5D7D">
      <w:pPr>
        <w:pStyle w:val="Paragraphedeliste"/>
        <w:numPr>
          <w:ilvl w:val="0"/>
          <w:numId w:val="9"/>
        </w:numPr>
        <w:jc w:val="both"/>
        <w:rPr>
          <w:rFonts w:cstheme="minorHAnsi"/>
          <w:b/>
          <w:bCs/>
          <w:sz w:val="20"/>
          <w:szCs w:val="20"/>
          <w:lang w:val="en-US"/>
        </w:rPr>
      </w:pPr>
      <w:r w:rsidRPr="005F5D7D">
        <w:rPr>
          <w:rFonts w:cstheme="minorHAnsi"/>
          <w:sz w:val="20"/>
          <w:szCs w:val="20"/>
          <w:lang w:val="en-US"/>
        </w:rPr>
        <w:t>Chatterjee S, Chaudhury S, McShan A.C, Kaur K and De Guzman R.N. (2013). Structure and Biophysics of Type III Secretion in Bacteria.</w:t>
      </w:r>
      <w:r w:rsidRPr="005F5D7D">
        <w:rPr>
          <w:rFonts w:cstheme="minorHAnsi"/>
          <w:i/>
          <w:iCs/>
          <w:sz w:val="20"/>
          <w:szCs w:val="20"/>
          <w:lang w:val="en-US"/>
        </w:rPr>
        <w:t xml:space="preserve"> Biochemistry</w:t>
      </w:r>
      <w:r w:rsidRPr="005F5D7D">
        <w:rPr>
          <w:rFonts w:cstheme="minorHAnsi"/>
          <w:sz w:val="20"/>
          <w:szCs w:val="20"/>
          <w:lang w:val="en-US"/>
        </w:rPr>
        <w:t xml:space="preserve">. 52, 2508-2517 </w:t>
      </w:r>
    </w:p>
    <w:p w:rsidR="0021063D" w:rsidRPr="005F5D7D" w:rsidRDefault="0021063D" w:rsidP="005F5D7D">
      <w:pPr>
        <w:pStyle w:val="Paragraphedeliste"/>
        <w:numPr>
          <w:ilvl w:val="0"/>
          <w:numId w:val="9"/>
        </w:numPr>
        <w:jc w:val="both"/>
        <w:rPr>
          <w:rFonts w:cstheme="minorHAnsi"/>
          <w:b/>
          <w:bCs/>
          <w:sz w:val="20"/>
          <w:szCs w:val="20"/>
          <w:lang w:val="en-US"/>
        </w:rPr>
      </w:pPr>
      <w:r w:rsidRPr="005F5D7D">
        <w:rPr>
          <w:rFonts w:cstheme="minorHAnsi"/>
          <w:sz w:val="20"/>
          <w:szCs w:val="20"/>
          <w:lang w:val="en-US"/>
        </w:rPr>
        <w:t xml:space="preserve">Chen K.W, Grob C.J, Sotomayor F.V, Stacey K.J, Tschopp J, Sweet M.J and Schodler K. (2014).  The neutrophil NLRC4  inflammasome  selectively  promotes IL-1beta  maturation  without  pyroptosis  during  acute  </w:t>
      </w:r>
      <w:r w:rsidRPr="005F5D7D">
        <w:rPr>
          <w:rFonts w:cstheme="minorHAnsi"/>
          <w:i/>
          <w:iCs/>
          <w:sz w:val="20"/>
          <w:szCs w:val="20"/>
          <w:lang w:val="en-US"/>
        </w:rPr>
        <w:t>Salmonella</w:t>
      </w:r>
      <w:r w:rsidRPr="005F5D7D">
        <w:rPr>
          <w:rFonts w:cstheme="minorHAnsi"/>
          <w:sz w:val="20"/>
          <w:szCs w:val="20"/>
          <w:lang w:val="en-US"/>
        </w:rPr>
        <w:t xml:space="preserve">  challenge. </w:t>
      </w:r>
      <w:r w:rsidRPr="005F5D7D">
        <w:rPr>
          <w:rFonts w:cstheme="minorHAnsi"/>
          <w:i/>
          <w:iCs/>
          <w:sz w:val="20"/>
          <w:szCs w:val="20"/>
          <w:lang w:val="en-US"/>
        </w:rPr>
        <w:t>Cell Reports</w:t>
      </w:r>
      <w:r w:rsidRPr="005F5D7D">
        <w:rPr>
          <w:rFonts w:cstheme="minorHAnsi"/>
          <w:sz w:val="20"/>
          <w:szCs w:val="20"/>
          <w:lang w:val="en-US"/>
        </w:rPr>
        <w:t>. 8, 570–582.</w:t>
      </w:r>
    </w:p>
    <w:p w:rsidR="0021063D" w:rsidRPr="005F5D7D" w:rsidRDefault="0021063D" w:rsidP="005F5D7D">
      <w:pPr>
        <w:pStyle w:val="Paragraphedeliste"/>
        <w:numPr>
          <w:ilvl w:val="0"/>
          <w:numId w:val="9"/>
        </w:numPr>
        <w:jc w:val="both"/>
        <w:rPr>
          <w:rFonts w:cstheme="minorHAnsi"/>
          <w:b/>
          <w:bCs/>
          <w:sz w:val="20"/>
          <w:szCs w:val="20"/>
          <w:lang w:val="en-US"/>
        </w:rPr>
      </w:pPr>
      <w:r w:rsidRPr="005F5D7D">
        <w:rPr>
          <w:rFonts w:cstheme="minorHAnsi"/>
          <w:sz w:val="20"/>
          <w:szCs w:val="20"/>
          <w:lang w:val="en-US"/>
        </w:rPr>
        <w:t xml:space="preserve">Chudnovskiy A, Mortha  A, Kana V, Kennard A, Ramirez J.D, Rahman A, Remark R, Mogno I, Ng, R, Gnjatic S, Amir E.D, Solovyov A, Greenbaum B, Clemente J, Faith J, Belkaid Y, Grigg M.E, and Merad M. (2016). Host-protozoan interactions protect from mucosal infections through activation of the inflammasome. </w:t>
      </w:r>
      <w:r w:rsidRPr="005F5D7D">
        <w:rPr>
          <w:rFonts w:cstheme="minorHAnsi"/>
          <w:i/>
          <w:iCs/>
          <w:sz w:val="20"/>
          <w:szCs w:val="20"/>
          <w:lang w:val="en-US"/>
        </w:rPr>
        <w:t>Cell</w:t>
      </w:r>
      <w:r w:rsidRPr="005F5D7D">
        <w:rPr>
          <w:rFonts w:cstheme="minorHAnsi"/>
          <w:sz w:val="20"/>
          <w:szCs w:val="20"/>
          <w:lang w:val="en-US"/>
        </w:rPr>
        <w:t>. 167, 444–456.</w:t>
      </w:r>
    </w:p>
    <w:p w:rsidR="0021063D" w:rsidRPr="005F5D7D" w:rsidRDefault="0021063D" w:rsidP="005F5D7D">
      <w:pPr>
        <w:pStyle w:val="Paragraphedeliste"/>
        <w:numPr>
          <w:ilvl w:val="0"/>
          <w:numId w:val="9"/>
        </w:numPr>
        <w:jc w:val="both"/>
        <w:rPr>
          <w:rFonts w:cstheme="minorHAnsi"/>
          <w:b/>
          <w:bCs/>
          <w:sz w:val="20"/>
          <w:szCs w:val="20"/>
          <w:lang w:val="en-US"/>
        </w:rPr>
      </w:pPr>
      <w:r w:rsidRPr="005F5D7D">
        <w:rPr>
          <w:rFonts w:cstheme="minorHAnsi"/>
          <w:sz w:val="20"/>
          <w:szCs w:val="20"/>
          <w:lang w:val="en-US"/>
        </w:rPr>
        <w:t xml:space="preserve">Cossart, P and Helenuis, A. (2014). Endocytosis of viruses and bacteria. </w:t>
      </w:r>
      <w:r w:rsidRPr="005F5D7D">
        <w:rPr>
          <w:rFonts w:cstheme="minorHAnsi"/>
          <w:i/>
          <w:iCs/>
          <w:sz w:val="20"/>
          <w:szCs w:val="20"/>
          <w:lang w:val="en-US"/>
        </w:rPr>
        <w:t xml:space="preserve">Cold </w:t>
      </w:r>
      <w:r w:rsidRPr="005F5D7D">
        <w:rPr>
          <w:rFonts w:cstheme="minorHAnsi"/>
          <w:i/>
          <w:iCs/>
          <w:sz w:val="20"/>
          <w:szCs w:val="20"/>
          <w:lang w:val="en-US"/>
        </w:rPr>
        <w:lastRenderedPageBreak/>
        <w:t>Spring Harbor Perspectives in Biology</w:t>
      </w:r>
      <w:r w:rsidRPr="005F5D7D">
        <w:rPr>
          <w:rFonts w:cstheme="minorHAnsi"/>
          <w:sz w:val="20"/>
          <w:szCs w:val="20"/>
          <w:lang w:val="en-US"/>
        </w:rPr>
        <w:t>. 6, 1-28.</w:t>
      </w:r>
    </w:p>
    <w:p w:rsidR="0021063D" w:rsidRPr="005F5D7D" w:rsidRDefault="0021063D" w:rsidP="005F5D7D">
      <w:pPr>
        <w:pStyle w:val="Paragraphedeliste"/>
        <w:numPr>
          <w:ilvl w:val="0"/>
          <w:numId w:val="9"/>
        </w:numPr>
        <w:jc w:val="both"/>
        <w:rPr>
          <w:rFonts w:cstheme="minorHAnsi"/>
          <w:b/>
          <w:bCs/>
          <w:sz w:val="20"/>
          <w:szCs w:val="20"/>
          <w:lang w:val="en-US"/>
        </w:rPr>
      </w:pPr>
      <w:r w:rsidRPr="005F5D7D">
        <w:rPr>
          <w:rFonts w:cstheme="minorHAnsi"/>
          <w:sz w:val="20"/>
          <w:szCs w:val="20"/>
          <w:lang w:val="en-US"/>
        </w:rPr>
        <w:t xml:space="preserve">Crowley S.M, Knodler, L.A and Vallance, B.A. (2015). </w:t>
      </w:r>
      <w:r w:rsidRPr="005F5D7D">
        <w:rPr>
          <w:rFonts w:cstheme="minorHAnsi"/>
          <w:i/>
          <w:iCs/>
          <w:sz w:val="20"/>
          <w:szCs w:val="20"/>
          <w:lang w:val="en-US"/>
        </w:rPr>
        <w:t xml:space="preserve">Salmonella </w:t>
      </w:r>
      <w:r w:rsidRPr="005F5D7D">
        <w:rPr>
          <w:rFonts w:cstheme="minorHAnsi"/>
          <w:sz w:val="20"/>
          <w:szCs w:val="20"/>
          <w:lang w:val="en-US"/>
        </w:rPr>
        <w:t xml:space="preserve">and the inflammasome: Battle for intracellular dominance. </w:t>
      </w:r>
      <w:r w:rsidRPr="005F5D7D">
        <w:rPr>
          <w:rFonts w:cstheme="minorHAnsi"/>
          <w:i/>
          <w:iCs/>
          <w:sz w:val="20"/>
          <w:szCs w:val="20"/>
          <w:lang w:val="en-US"/>
        </w:rPr>
        <w:t>Current Topics in Microbiology and Immunology</w:t>
      </w:r>
      <w:r w:rsidRPr="005F5D7D">
        <w:rPr>
          <w:rFonts w:cstheme="minorHAnsi"/>
          <w:sz w:val="20"/>
          <w:szCs w:val="20"/>
          <w:lang w:val="en-US"/>
        </w:rPr>
        <w:t>. 397, 43-67.</w:t>
      </w:r>
    </w:p>
    <w:p w:rsidR="0021063D" w:rsidRPr="005F5D7D" w:rsidRDefault="0021063D" w:rsidP="005F5D7D">
      <w:pPr>
        <w:pStyle w:val="Paragraphedeliste"/>
        <w:numPr>
          <w:ilvl w:val="0"/>
          <w:numId w:val="9"/>
        </w:numPr>
        <w:jc w:val="both"/>
        <w:rPr>
          <w:rFonts w:cstheme="minorHAnsi"/>
          <w:b/>
          <w:bCs/>
          <w:sz w:val="20"/>
          <w:szCs w:val="20"/>
          <w:lang w:val="en-US"/>
        </w:rPr>
      </w:pPr>
      <w:r w:rsidRPr="005F5D7D">
        <w:rPr>
          <w:rFonts w:cstheme="minorHAnsi"/>
          <w:sz w:val="20"/>
          <w:szCs w:val="20"/>
          <w:lang w:val="en-US"/>
        </w:rPr>
        <w:t xml:space="preserve">De Jong H.K, Parry, C.M, Poll T.V.D, Wiersinga W.J. (2012). Host-pathogen interaction in invasive salmonellosis. </w:t>
      </w:r>
      <w:r w:rsidRPr="005F5D7D">
        <w:rPr>
          <w:rFonts w:cstheme="minorHAnsi"/>
          <w:i/>
          <w:iCs/>
          <w:sz w:val="20"/>
          <w:szCs w:val="20"/>
          <w:lang w:val="en-US"/>
        </w:rPr>
        <w:t>Public Library of Science pathogens</w:t>
      </w:r>
      <w:r w:rsidRPr="005F5D7D">
        <w:rPr>
          <w:rFonts w:cstheme="minorHAnsi"/>
          <w:sz w:val="20"/>
          <w:szCs w:val="20"/>
          <w:lang w:val="en-US"/>
        </w:rPr>
        <w:t>. 8, e1002933.</w:t>
      </w:r>
    </w:p>
    <w:p w:rsidR="0021063D" w:rsidRPr="005F5D7D" w:rsidRDefault="0021063D" w:rsidP="005F5D7D">
      <w:pPr>
        <w:pStyle w:val="Paragraphedeliste"/>
        <w:numPr>
          <w:ilvl w:val="0"/>
          <w:numId w:val="9"/>
        </w:numPr>
        <w:jc w:val="both"/>
        <w:rPr>
          <w:rFonts w:cstheme="minorHAnsi"/>
          <w:b/>
          <w:bCs/>
          <w:sz w:val="20"/>
          <w:szCs w:val="20"/>
          <w:lang w:val="en-US"/>
        </w:rPr>
      </w:pPr>
      <w:r w:rsidRPr="005F5D7D">
        <w:rPr>
          <w:rFonts w:cstheme="minorHAnsi"/>
          <w:sz w:val="20"/>
          <w:szCs w:val="20"/>
          <w:lang w:val="en-US"/>
        </w:rPr>
        <w:t>De Souza Santos</w:t>
      </w:r>
      <w:r w:rsidR="00B7408B" w:rsidRPr="005F5D7D">
        <w:rPr>
          <w:rFonts w:cstheme="minorHAnsi"/>
          <w:sz w:val="20"/>
          <w:szCs w:val="20"/>
          <w:lang w:val="en-US"/>
        </w:rPr>
        <w:t xml:space="preserve"> </w:t>
      </w:r>
      <w:r w:rsidRPr="005F5D7D">
        <w:rPr>
          <w:rFonts w:cstheme="minorHAnsi"/>
          <w:sz w:val="20"/>
          <w:szCs w:val="20"/>
          <w:lang w:val="en-US"/>
        </w:rPr>
        <w:t xml:space="preserve">M and Orth K. (2015). Subversion of cytoskeleton by intracellular bacteria: lessons from </w:t>
      </w:r>
      <w:r w:rsidRPr="005F5D7D">
        <w:rPr>
          <w:rFonts w:cstheme="minorHAnsi"/>
          <w:i/>
          <w:iCs/>
          <w:sz w:val="20"/>
          <w:szCs w:val="20"/>
          <w:lang w:val="en-US"/>
        </w:rPr>
        <w:t>listeria</w:t>
      </w:r>
      <w:r w:rsidRPr="005F5D7D">
        <w:rPr>
          <w:rFonts w:cstheme="minorHAnsi"/>
          <w:sz w:val="20"/>
          <w:szCs w:val="20"/>
          <w:lang w:val="en-US"/>
        </w:rPr>
        <w:t xml:space="preserve">, </w:t>
      </w:r>
      <w:r w:rsidRPr="005F5D7D">
        <w:rPr>
          <w:rFonts w:cstheme="minorHAnsi"/>
          <w:i/>
          <w:iCs/>
          <w:sz w:val="20"/>
          <w:szCs w:val="20"/>
          <w:lang w:val="en-US"/>
        </w:rPr>
        <w:t>salmonella</w:t>
      </w:r>
      <w:r w:rsidRPr="005F5D7D">
        <w:rPr>
          <w:rFonts w:cstheme="minorHAnsi"/>
          <w:sz w:val="20"/>
          <w:szCs w:val="20"/>
          <w:lang w:val="en-US"/>
        </w:rPr>
        <w:t xml:space="preserve"> and </w:t>
      </w:r>
      <w:r w:rsidRPr="005F5D7D">
        <w:rPr>
          <w:rFonts w:cstheme="minorHAnsi"/>
          <w:i/>
          <w:iCs/>
          <w:sz w:val="20"/>
          <w:szCs w:val="20"/>
          <w:lang w:val="en-US"/>
        </w:rPr>
        <w:t>vibrio</w:t>
      </w:r>
      <w:r w:rsidRPr="005F5D7D">
        <w:rPr>
          <w:rFonts w:cstheme="minorHAnsi"/>
          <w:sz w:val="20"/>
          <w:szCs w:val="20"/>
          <w:lang w:val="en-US"/>
        </w:rPr>
        <w:t xml:space="preserve">. </w:t>
      </w:r>
      <w:r w:rsidRPr="005F5D7D">
        <w:rPr>
          <w:rFonts w:cstheme="minorHAnsi"/>
          <w:i/>
          <w:iCs/>
          <w:sz w:val="20"/>
          <w:szCs w:val="20"/>
          <w:lang w:val="en-US"/>
        </w:rPr>
        <w:t>Cellular microbiology</w:t>
      </w:r>
      <w:r w:rsidRPr="005F5D7D">
        <w:rPr>
          <w:rFonts w:cstheme="minorHAnsi"/>
          <w:sz w:val="20"/>
          <w:szCs w:val="20"/>
          <w:lang w:val="en-US"/>
        </w:rPr>
        <w:t>. 17, 164-173.</w:t>
      </w:r>
    </w:p>
    <w:p w:rsidR="0021063D" w:rsidRPr="005F5D7D" w:rsidRDefault="0021063D" w:rsidP="005F5D7D">
      <w:pPr>
        <w:pStyle w:val="Paragraphedeliste"/>
        <w:numPr>
          <w:ilvl w:val="0"/>
          <w:numId w:val="9"/>
        </w:numPr>
        <w:jc w:val="both"/>
        <w:rPr>
          <w:rFonts w:cstheme="minorHAnsi"/>
          <w:b/>
          <w:bCs/>
          <w:sz w:val="20"/>
          <w:szCs w:val="20"/>
          <w:lang w:val="en-US"/>
        </w:rPr>
      </w:pPr>
      <w:r w:rsidRPr="005F5D7D">
        <w:rPr>
          <w:rFonts w:cstheme="minorHAnsi"/>
          <w:sz w:val="20"/>
          <w:szCs w:val="20"/>
        </w:rPr>
        <w:t xml:space="preserve">Dong  H, Tang  X, Zhang, Z, Dong C. (2017). </w:t>
      </w:r>
      <w:r w:rsidRPr="005F5D7D">
        <w:rPr>
          <w:rFonts w:cstheme="minorHAnsi"/>
          <w:sz w:val="20"/>
          <w:szCs w:val="20"/>
          <w:lang w:val="en-US"/>
        </w:rPr>
        <w:t xml:space="preserve">Structural insight into lipopolysaccharide transport from the gram-negative bacteria inner membran to the outer membran. </w:t>
      </w:r>
      <w:r w:rsidRPr="005F5D7D">
        <w:rPr>
          <w:rFonts w:cstheme="minorHAnsi"/>
          <w:i/>
          <w:iCs/>
          <w:sz w:val="20"/>
          <w:szCs w:val="20"/>
          <w:lang w:val="en-US"/>
        </w:rPr>
        <w:t>Molecular and cell biology of lipids</w:t>
      </w:r>
      <w:r w:rsidRPr="005F5D7D">
        <w:rPr>
          <w:rFonts w:cstheme="minorHAnsi"/>
          <w:sz w:val="20"/>
          <w:szCs w:val="20"/>
          <w:lang w:val="en-US"/>
        </w:rPr>
        <w:t>. 1862, 1461-1467.</w:t>
      </w:r>
    </w:p>
    <w:p w:rsidR="0021063D" w:rsidRPr="005F5D7D" w:rsidRDefault="0021063D" w:rsidP="005F5D7D">
      <w:pPr>
        <w:pStyle w:val="Paragraphedeliste"/>
        <w:numPr>
          <w:ilvl w:val="0"/>
          <w:numId w:val="9"/>
        </w:numPr>
        <w:jc w:val="both"/>
        <w:rPr>
          <w:rFonts w:cstheme="minorHAnsi"/>
          <w:b/>
          <w:bCs/>
          <w:sz w:val="20"/>
          <w:szCs w:val="20"/>
          <w:lang w:val="en-US"/>
        </w:rPr>
      </w:pPr>
      <w:r w:rsidRPr="005F5D7D">
        <w:rPr>
          <w:rFonts w:cstheme="minorHAnsi"/>
          <w:sz w:val="20"/>
          <w:szCs w:val="20"/>
          <w:lang w:val="en-US"/>
        </w:rPr>
        <w:t xml:space="preserve">Dougan G and Baker S. (2014). </w:t>
      </w:r>
      <w:r w:rsidRPr="005F5D7D">
        <w:rPr>
          <w:rFonts w:cstheme="minorHAnsi"/>
          <w:i/>
          <w:iCs/>
          <w:sz w:val="20"/>
          <w:szCs w:val="20"/>
          <w:lang w:val="en-US"/>
        </w:rPr>
        <w:t>Salmonella enterica</w:t>
      </w:r>
      <w:r w:rsidRPr="005F5D7D">
        <w:rPr>
          <w:rFonts w:cstheme="minorHAnsi"/>
          <w:sz w:val="20"/>
          <w:szCs w:val="20"/>
          <w:lang w:val="en-US"/>
        </w:rPr>
        <w:t xml:space="preserve"> serovar </w:t>
      </w:r>
      <w:r w:rsidRPr="005F5D7D">
        <w:rPr>
          <w:rFonts w:cstheme="minorHAnsi"/>
          <w:i/>
          <w:iCs/>
          <w:sz w:val="20"/>
          <w:szCs w:val="20"/>
          <w:lang w:val="en-US"/>
        </w:rPr>
        <w:t>typhi</w:t>
      </w:r>
      <w:r w:rsidRPr="005F5D7D">
        <w:rPr>
          <w:rFonts w:cstheme="minorHAnsi"/>
          <w:sz w:val="20"/>
          <w:szCs w:val="20"/>
          <w:lang w:val="en-US"/>
        </w:rPr>
        <w:t xml:space="preserve"> and the pathogenesis of typhoid fever. Annual Review of Microbiology. 68, 317-36</w:t>
      </w:r>
    </w:p>
    <w:p w:rsidR="0021063D" w:rsidRPr="005F5D7D" w:rsidRDefault="0021063D" w:rsidP="005F5D7D">
      <w:pPr>
        <w:pStyle w:val="Paragraphedeliste"/>
        <w:numPr>
          <w:ilvl w:val="0"/>
          <w:numId w:val="9"/>
        </w:numPr>
        <w:jc w:val="both"/>
        <w:rPr>
          <w:rFonts w:cstheme="minorHAnsi"/>
          <w:b/>
          <w:bCs/>
          <w:sz w:val="20"/>
          <w:szCs w:val="20"/>
          <w:lang w:val="en-US"/>
        </w:rPr>
      </w:pPr>
      <w:r w:rsidRPr="005F5D7D">
        <w:rPr>
          <w:rFonts w:cstheme="minorHAnsi"/>
          <w:sz w:val="20"/>
          <w:szCs w:val="20"/>
          <w:lang w:val="en-US"/>
        </w:rPr>
        <w:t xml:space="preserve">Eng S.K, Pusparajah P, Mutalib N.S.A, Ser H.L, Chan K.G, Lee H. (2015). </w:t>
      </w:r>
      <w:r w:rsidRPr="005F5D7D">
        <w:rPr>
          <w:rFonts w:cstheme="minorHAnsi"/>
          <w:i/>
          <w:iCs/>
          <w:sz w:val="20"/>
          <w:szCs w:val="20"/>
          <w:lang w:val="en-US"/>
        </w:rPr>
        <w:t xml:space="preserve">Salmonella </w:t>
      </w:r>
      <w:r w:rsidRPr="005F5D7D">
        <w:rPr>
          <w:rFonts w:cstheme="minorHAnsi"/>
          <w:sz w:val="20"/>
          <w:szCs w:val="20"/>
          <w:lang w:val="en-US"/>
        </w:rPr>
        <w:t xml:space="preserve">a review epidemiology and antibiotic resistance. </w:t>
      </w:r>
      <w:r w:rsidRPr="005F5D7D">
        <w:rPr>
          <w:rFonts w:cstheme="minorHAnsi"/>
          <w:i/>
          <w:iCs/>
          <w:sz w:val="20"/>
          <w:szCs w:val="20"/>
          <w:lang w:val="en-US"/>
        </w:rPr>
        <w:t>Frontier in Life science</w:t>
      </w:r>
      <w:r w:rsidRPr="005F5D7D">
        <w:rPr>
          <w:rFonts w:cstheme="minorHAnsi"/>
          <w:sz w:val="20"/>
          <w:szCs w:val="20"/>
          <w:lang w:val="en-US"/>
        </w:rPr>
        <w:t xml:space="preserve"> 8, 284-293</w:t>
      </w:r>
    </w:p>
    <w:p w:rsidR="0021063D" w:rsidRPr="005F5D7D" w:rsidRDefault="0021063D" w:rsidP="005F5D7D">
      <w:pPr>
        <w:pStyle w:val="Paragraphedeliste"/>
        <w:numPr>
          <w:ilvl w:val="0"/>
          <w:numId w:val="9"/>
        </w:numPr>
        <w:jc w:val="both"/>
        <w:rPr>
          <w:rFonts w:cstheme="minorHAnsi"/>
          <w:b/>
          <w:bCs/>
          <w:sz w:val="20"/>
          <w:szCs w:val="20"/>
          <w:lang w:val="en-US"/>
        </w:rPr>
      </w:pPr>
      <w:r w:rsidRPr="005F5D7D">
        <w:rPr>
          <w:rFonts w:cstheme="minorHAnsi"/>
          <w:sz w:val="20"/>
          <w:szCs w:val="20"/>
          <w:lang w:val="en-US"/>
        </w:rPr>
        <w:t xml:space="preserve">Fàbrega A and Vila J. (2013). </w:t>
      </w:r>
      <w:r w:rsidRPr="005F5D7D">
        <w:rPr>
          <w:rFonts w:cstheme="minorHAnsi"/>
          <w:i/>
          <w:iCs/>
          <w:sz w:val="20"/>
          <w:szCs w:val="20"/>
          <w:lang w:val="en-US"/>
        </w:rPr>
        <w:t>Salmonella Enterica Typhimurium</w:t>
      </w:r>
      <w:r w:rsidRPr="005F5D7D">
        <w:rPr>
          <w:rFonts w:cstheme="minorHAnsi"/>
          <w:sz w:val="20"/>
          <w:szCs w:val="20"/>
          <w:lang w:val="en-US"/>
        </w:rPr>
        <w:t xml:space="preserve"> Skills to succeed in the host: virulence and regulation. </w:t>
      </w:r>
      <w:r w:rsidRPr="005F5D7D">
        <w:rPr>
          <w:rFonts w:cstheme="minorHAnsi"/>
          <w:i/>
          <w:iCs/>
          <w:sz w:val="20"/>
          <w:szCs w:val="20"/>
          <w:lang w:val="en-US"/>
        </w:rPr>
        <w:t>Clinical Microbiology Reviews</w:t>
      </w:r>
      <w:r w:rsidRPr="005F5D7D">
        <w:rPr>
          <w:rFonts w:cstheme="minorHAnsi"/>
          <w:sz w:val="20"/>
          <w:szCs w:val="20"/>
          <w:lang w:val="en-US"/>
        </w:rPr>
        <w:t>. 26, 308-341.</w:t>
      </w:r>
    </w:p>
    <w:p w:rsidR="0021063D" w:rsidRPr="005F5D7D" w:rsidRDefault="0021063D" w:rsidP="005F5D7D">
      <w:pPr>
        <w:pStyle w:val="Paragraphedeliste"/>
        <w:numPr>
          <w:ilvl w:val="0"/>
          <w:numId w:val="9"/>
        </w:numPr>
        <w:jc w:val="both"/>
        <w:rPr>
          <w:rFonts w:cstheme="minorHAnsi"/>
          <w:b/>
          <w:bCs/>
          <w:sz w:val="20"/>
          <w:szCs w:val="20"/>
          <w:lang w:val="en-US"/>
        </w:rPr>
      </w:pPr>
      <w:r w:rsidRPr="005F5D7D">
        <w:rPr>
          <w:rFonts w:cstheme="minorHAnsi"/>
          <w:sz w:val="20"/>
          <w:szCs w:val="20"/>
          <w:lang w:val="en-US"/>
        </w:rPr>
        <w:t xml:space="preserve">Fiskin E, Bhogaraju S, Herhaus L, Kalayil S, Hahn M and Dikic, I. (2017). Structural basis for the recognition and degradation of host TRIM proteins by </w:t>
      </w:r>
      <w:r w:rsidRPr="005F5D7D">
        <w:rPr>
          <w:rFonts w:cstheme="minorHAnsi"/>
          <w:i/>
          <w:iCs/>
          <w:sz w:val="20"/>
          <w:szCs w:val="20"/>
          <w:lang w:val="en-US"/>
        </w:rPr>
        <w:t>Salmonella</w:t>
      </w:r>
      <w:r w:rsidRPr="005F5D7D">
        <w:rPr>
          <w:rFonts w:cstheme="minorHAnsi"/>
          <w:sz w:val="20"/>
          <w:szCs w:val="20"/>
          <w:lang w:val="en-US"/>
        </w:rPr>
        <w:t xml:space="preserve"> effector SopA. </w:t>
      </w:r>
      <w:r w:rsidRPr="005F5D7D">
        <w:rPr>
          <w:rFonts w:cstheme="minorHAnsi"/>
          <w:i/>
          <w:iCs/>
          <w:sz w:val="20"/>
          <w:szCs w:val="20"/>
          <w:lang w:val="en-US"/>
        </w:rPr>
        <w:t>Nature Communications</w:t>
      </w:r>
      <w:r w:rsidRPr="005F5D7D">
        <w:rPr>
          <w:rFonts w:cstheme="minorHAnsi"/>
          <w:sz w:val="20"/>
          <w:szCs w:val="20"/>
          <w:lang w:val="en-US"/>
        </w:rPr>
        <w:t>. 8</w:t>
      </w:r>
      <w:r w:rsidR="00934B87" w:rsidRPr="005F5D7D">
        <w:rPr>
          <w:rFonts w:cstheme="minorHAnsi"/>
          <w:sz w:val="20"/>
          <w:szCs w:val="20"/>
          <w:lang w:val="en-US"/>
        </w:rPr>
        <w:t>, 1</w:t>
      </w:r>
      <w:r w:rsidRPr="005F5D7D">
        <w:rPr>
          <w:rFonts w:cstheme="minorHAnsi"/>
          <w:sz w:val="20"/>
          <w:szCs w:val="20"/>
          <w:lang w:val="en-US"/>
        </w:rPr>
        <w:t>-14.</w:t>
      </w:r>
    </w:p>
    <w:p w:rsidR="0021063D" w:rsidRPr="005F5D7D" w:rsidRDefault="0021063D" w:rsidP="005F5D7D">
      <w:pPr>
        <w:pStyle w:val="Paragraphedeliste"/>
        <w:numPr>
          <w:ilvl w:val="0"/>
          <w:numId w:val="9"/>
        </w:numPr>
        <w:jc w:val="both"/>
        <w:rPr>
          <w:rFonts w:cstheme="minorHAnsi"/>
          <w:b/>
          <w:bCs/>
          <w:sz w:val="20"/>
          <w:szCs w:val="20"/>
          <w:lang w:val="en-US"/>
        </w:rPr>
      </w:pPr>
      <w:r w:rsidRPr="005F5D7D">
        <w:rPr>
          <w:rFonts w:cstheme="minorHAnsi"/>
          <w:sz w:val="20"/>
          <w:szCs w:val="20"/>
          <w:lang w:val="en-US"/>
        </w:rPr>
        <w:t xml:space="preserve">Fowler C.C and Galàn J.E. (2018). Decoding a </w:t>
      </w:r>
      <w:r w:rsidRPr="005F5D7D">
        <w:rPr>
          <w:rFonts w:cstheme="minorHAnsi"/>
          <w:i/>
          <w:iCs/>
          <w:sz w:val="20"/>
          <w:szCs w:val="20"/>
          <w:lang w:val="en-US"/>
        </w:rPr>
        <w:t>Salmonella Typhi</w:t>
      </w:r>
      <w:r w:rsidRPr="005F5D7D">
        <w:rPr>
          <w:rFonts w:cstheme="minorHAnsi"/>
          <w:sz w:val="20"/>
          <w:szCs w:val="20"/>
          <w:lang w:val="en-US"/>
        </w:rPr>
        <w:t xml:space="preserve"> regulatory network that controls typhoid toxin expression within human cell. </w:t>
      </w:r>
      <w:r w:rsidRPr="005F5D7D">
        <w:rPr>
          <w:rFonts w:cstheme="minorHAnsi"/>
          <w:i/>
          <w:iCs/>
          <w:sz w:val="20"/>
          <w:szCs w:val="20"/>
          <w:lang w:val="en-US"/>
        </w:rPr>
        <w:t>Cell Host &amp; Microbe</w:t>
      </w:r>
      <w:r w:rsidRPr="005F5D7D">
        <w:rPr>
          <w:rFonts w:cstheme="minorHAnsi"/>
          <w:sz w:val="20"/>
          <w:szCs w:val="20"/>
          <w:lang w:val="en-US"/>
        </w:rPr>
        <w:t xml:space="preserve"> 23, 65-75. </w:t>
      </w:r>
    </w:p>
    <w:p w:rsidR="0021063D" w:rsidRPr="005F5D7D" w:rsidRDefault="0021063D" w:rsidP="005F5D7D">
      <w:pPr>
        <w:pStyle w:val="Paragraphedeliste"/>
        <w:numPr>
          <w:ilvl w:val="0"/>
          <w:numId w:val="9"/>
        </w:numPr>
        <w:jc w:val="both"/>
        <w:rPr>
          <w:rFonts w:cstheme="minorHAnsi"/>
          <w:b/>
          <w:bCs/>
          <w:sz w:val="20"/>
          <w:szCs w:val="20"/>
          <w:lang w:val="en-US"/>
        </w:rPr>
      </w:pPr>
      <w:r w:rsidRPr="005F5D7D">
        <w:rPr>
          <w:rFonts w:cstheme="minorHAnsi"/>
          <w:sz w:val="20"/>
          <w:szCs w:val="20"/>
          <w:lang w:val="en-US"/>
        </w:rPr>
        <w:t xml:space="preserve">Gonzàlez J.F, Alberts H, Lee S, Doolittle L and Gunn J.S. (2018). Biofilm formation protects </w:t>
      </w:r>
      <w:r w:rsidRPr="005F5D7D">
        <w:rPr>
          <w:rFonts w:cstheme="minorHAnsi"/>
          <w:i/>
          <w:iCs/>
          <w:sz w:val="20"/>
          <w:szCs w:val="20"/>
          <w:lang w:val="en-US"/>
        </w:rPr>
        <w:t>Salmonella</w:t>
      </w:r>
      <w:r w:rsidRPr="005F5D7D">
        <w:rPr>
          <w:rFonts w:cstheme="minorHAnsi"/>
          <w:sz w:val="20"/>
          <w:szCs w:val="20"/>
          <w:lang w:val="en-US"/>
        </w:rPr>
        <w:t xml:space="preserve"> from the antibiotic Ciprofloxacin In vivo and In vitro in the </w:t>
      </w:r>
      <w:r w:rsidRPr="005F5D7D">
        <w:rPr>
          <w:rFonts w:cstheme="minorHAnsi"/>
          <w:sz w:val="20"/>
          <w:szCs w:val="20"/>
          <w:lang w:val="en-US"/>
        </w:rPr>
        <w:lastRenderedPageBreak/>
        <w:t xml:space="preserve">mouse model of a chronic carriage. </w:t>
      </w:r>
      <w:r w:rsidRPr="005F5D7D">
        <w:rPr>
          <w:rFonts w:cstheme="minorHAnsi"/>
          <w:i/>
          <w:iCs/>
          <w:sz w:val="20"/>
          <w:szCs w:val="20"/>
          <w:lang w:val="en-US"/>
        </w:rPr>
        <w:t>Scientific reporters</w:t>
      </w:r>
      <w:r w:rsidRPr="005F5D7D">
        <w:rPr>
          <w:rFonts w:cstheme="minorHAnsi"/>
          <w:sz w:val="20"/>
          <w:szCs w:val="20"/>
          <w:lang w:val="en-US"/>
        </w:rPr>
        <w:t>. 8, 1-8.</w:t>
      </w:r>
    </w:p>
    <w:p w:rsidR="0021063D" w:rsidRPr="005F5D7D" w:rsidRDefault="0021063D" w:rsidP="005F5D7D">
      <w:pPr>
        <w:pStyle w:val="Paragraphedeliste"/>
        <w:numPr>
          <w:ilvl w:val="0"/>
          <w:numId w:val="9"/>
        </w:numPr>
        <w:jc w:val="both"/>
        <w:rPr>
          <w:rFonts w:cstheme="minorHAnsi"/>
          <w:b/>
          <w:bCs/>
          <w:sz w:val="20"/>
          <w:szCs w:val="20"/>
          <w:lang w:val="en-US"/>
        </w:rPr>
      </w:pPr>
      <w:r w:rsidRPr="005F5D7D">
        <w:rPr>
          <w:rFonts w:cstheme="minorHAnsi"/>
          <w:sz w:val="20"/>
          <w:szCs w:val="20"/>
          <w:lang w:val="en-US"/>
        </w:rPr>
        <w:t>Hagar, J.A, Powell, D.A, Aachoui, Y, Ernst, R.K, Miao, E.A. (2013). Cytoplasmic LPS activates caspase-11: implications in TLR4-independent endotoxic shock.</w:t>
      </w:r>
      <w:r w:rsidRPr="005F5D7D">
        <w:rPr>
          <w:rFonts w:cstheme="minorHAnsi"/>
          <w:i/>
          <w:iCs/>
          <w:sz w:val="20"/>
          <w:szCs w:val="20"/>
          <w:lang w:val="en-US"/>
        </w:rPr>
        <w:t xml:space="preserve"> Science</w:t>
      </w:r>
      <w:r w:rsidRPr="005F5D7D">
        <w:rPr>
          <w:rFonts w:cstheme="minorHAnsi"/>
          <w:sz w:val="20"/>
          <w:szCs w:val="20"/>
          <w:lang w:val="en-US"/>
        </w:rPr>
        <w:t>. 341, 1250–1253.</w:t>
      </w:r>
    </w:p>
    <w:p w:rsidR="0021063D" w:rsidRPr="005F5D7D" w:rsidRDefault="0021063D" w:rsidP="005F5D7D">
      <w:pPr>
        <w:pStyle w:val="Paragraphedeliste"/>
        <w:numPr>
          <w:ilvl w:val="0"/>
          <w:numId w:val="9"/>
        </w:numPr>
        <w:jc w:val="both"/>
        <w:rPr>
          <w:rFonts w:cstheme="minorHAnsi"/>
          <w:b/>
          <w:bCs/>
          <w:sz w:val="20"/>
          <w:szCs w:val="20"/>
          <w:lang w:val="en-US"/>
        </w:rPr>
      </w:pPr>
      <w:r w:rsidRPr="005F5D7D">
        <w:rPr>
          <w:rFonts w:cstheme="minorHAnsi"/>
          <w:sz w:val="20"/>
          <w:szCs w:val="20"/>
          <w:lang w:val="en-US"/>
        </w:rPr>
        <w:t xml:space="preserve">Herhaus L and Dikic I. (2017). Regulation of </w:t>
      </w:r>
      <w:r w:rsidRPr="005F5D7D">
        <w:rPr>
          <w:rFonts w:cstheme="minorHAnsi"/>
          <w:i/>
          <w:iCs/>
          <w:sz w:val="20"/>
          <w:szCs w:val="20"/>
          <w:lang w:val="en-US"/>
        </w:rPr>
        <w:t>salmonella</w:t>
      </w:r>
      <w:r w:rsidRPr="005F5D7D">
        <w:rPr>
          <w:rFonts w:cstheme="minorHAnsi"/>
          <w:sz w:val="20"/>
          <w:szCs w:val="20"/>
          <w:lang w:val="en-US"/>
        </w:rPr>
        <w:t xml:space="preserve">-host cell interaction via the Ubiquitin system. </w:t>
      </w:r>
      <w:r w:rsidRPr="005F5D7D">
        <w:rPr>
          <w:rFonts w:cstheme="minorHAnsi"/>
          <w:i/>
          <w:iCs/>
          <w:sz w:val="20"/>
          <w:szCs w:val="20"/>
          <w:lang w:val="en-US"/>
        </w:rPr>
        <w:t>International journal of medical microbiology</w:t>
      </w:r>
      <w:r w:rsidRPr="005F5D7D">
        <w:rPr>
          <w:rFonts w:cstheme="minorHAnsi"/>
          <w:sz w:val="20"/>
          <w:szCs w:val="20"/>
          <w:lang w:val="en-US"/>
        </w:rPr>
        <w:t xml:space="preserve"> </w:t>
      </w:r>
      <w:r w:rsidR="009F391C" w:rsidRPr="005F5D7D">
        <w:rPr>
          <w:rFonts w:cstheme="minorHAnsi"/>
          <w:sz w:val="20"/>
          <w:szCs w:val="20"/>
          <w:lang w:val="en-US"/>
        </w:rPr>
        <w:t>308, 176-184</w:t>
      </w:r>
      <w:r w:rsidRPr="005F5D7D">
        <w:rPr>
          <w:rFonts w:cstheme="minorHAnsi"/>
          <w:sz w:val="20"/>
          <w:szCs w:val="20"/>
          <w:lang w:val="en-US"/>
        </w:rPr>
        <w:t xml:space="preserve">. </w:t>
      </w:r>
    </w:p>
    <w:p w:rsidR="0021063D" w:rsidRPr="005F5D7D" w:rsidRDefault="0021063D" w:rsidP="005F5D7D">
      <w:pPr>
        <w:pStyle w:val="Paragraphedeliste"/>
        <w:numPr>
          <w:ilvl w:val="0"/>
          <w:numId w:val="9"/>
        </w:numPr>
        <w:jc w:val="both"/>
        <w:rPr>
          <w:rFonts w:cstheme="minorHAnsi"/>
          <w:b/>
          <w:bCs/>
          <w:sz w:val="20"/>
          <w:szCs w:val="20"/>
          <w:lang w:val="en-US"/>
        </w:rPr>
      </w:pPr>
      <w:r w:rsidRPr="005F5D7D">
        <w:rPr>
          <w:rFonts w:cstheme="minorHAnsi"/>
          <w:sz w:val="20"/>
          <w:szCs w:val="20"/>
          <w:lang w:val="en-US"/>
        </w:rPr>
        <w:t xml:space="preserve">Hernandez S.B, Cota I, Ducret A, Aussel L and Casadesus J. (2012). Adaptation and preadaptation of </w:t>
      </w:r>
      <w:r w:rsidRPr="005F5D7D">
        <w:rPr>
          <w:rFonts w:cstheme="minorHAnsi"/>
          <w:i/>
          <w:iCs/>
          <w:sz w:val="20"/>
          <w:szCs w:val="20"/>
          <w:lang w:val="en-US"/>
        </w:rPr>
        <w:t>Salmonella enterica</w:t>
      </w:r>
      <w:r w:rsidRPr="005F5D7D">
        <w:rPr>
          <w:rFonts w:cstheme="minorHAnsi"/>
          <w:sz w:val="20"/>
          <w:szCs w:val="20"/>
          <w:lang w:val="en-US"/>
        </w:rPr>
        <w:t xml:space="preserve"> to bile. </w:t>
      </w:r>
      <w:r w:rsidRPr="005F5D7D">
        <w:rPr>
          <w:rFonts w:cstheme="minorHAnsi"/>
          <w:i/>
          <w:iCs/>
          <w:sz w:val="20"/>
          <w:szCs w:val="20"/>
          <w:lang w:val="en-US"/>
        </w:rPr>
        <w:t>Public library of Science Genetics</w:t>
      </w:r>
      <w:r w:rsidRPr="005F5D7D">
        <w:rPr>
          <w:rFonts w:cstheme="minorHAnsi"/>
          <w:sz w:val="20"/>
          <w:szCs w:val="20"/>
          <w:lang w:val="en-US"/>
        </w:rPr>
        <w:t>. 8, 1-15.</w:t>
      </w:r>
    </w:p>
    <w:p w:rsidR="0021063D" w:rsidRPr="005F5D7D" w:rsidRDefault="0021063D" w:rsidP="005F5D7D">
      <w:pPr>
        <w:pStyle w:val="Paragraphedeliste"/>
        <w:numPr>
          <w:ilvl w:val="0"/>
          <w:numId w:val="9"/>
        </w:numPr>
        <w:jc w:val="both"/>
        <w:rPr>
          <w:rFonts w:cstheme="minorHAnsi"/>
          <w:b/>
          <w:bCs/>
          <w:sz w:val="20"/>
          <w:szCs w:val="20"/>
        </w:rPr>
      </w:pPr>
      <w:r w:rsidRPr="005F5D7D">
        <w:rPr>
          <w:rFonts w:cstheme="minorHAnsi"/>
          <w:sz w:val="20"/>
          <w:szCs w:val="20"/>
        </w:rPr>
        <w:t>https://www.ncbi.nlm.gov (</w:t>
      </w:r>
      <w:r w:rsidR="00AA2C02" w:rsidRPr="005F5D7D">
        <w:rPr>
          <w:rFonts w:cstheme="minorHAnsi"/>
          <w:sz w:val="20"/>
          <w:szCs w:val="20"/>
        </w:rPr>
        <w:t>7</w:t>
      </w:r>
      <w:r w:rsidRPr="005F5D7D">
        <w:rPr>
          <w:rFonts w:cstheme="minorHAnsi"/>
          <w:sz w:val="20"/>
          <w:szCs w:val="20"/>
        </w:rPr>
        <w:t>mars 2018)</w:t>
      </w:r>
    </w:p>
    <w:p w:rsidR="0021063D" w:rsidRPr="005F5D7D" w:rsidRDefault="0021063D" w:rsidP="005F5D7D">
      <w:pPr>
        <w:pStyle w:val="Paragraphedeliste"/>
        <w:numPr>
          <w:ilvl w:val="0"/>
          <w:numId w:val="9"/>
        </w:numPr>
        <w:jc w:val="both"/>
        <w:rPr>
          <w:rFonts w:cstheme="minorHAnsi"/>
          <w:b/>
          <w:bCs/>
          <w:sz w:val="20"/>
          <w:szCs w:val="20"/>
          <w:lang w:val="en-US"/>
        </w:rPr>
      </w:pPr>
      <w:r w:rsidRPr="005F5D7D">
        <w:rPr>
          <w:rFonts w:cstheme="minorHAnsi"/>
          <w:sz w:val="20"/>
          <w:szCs w:val="20"/>
          <w:lang w:val="en-US"/>
        </w:rPr>
        <w:t xml:space="preserve">Hu X, Chen Z, Xiong K, Wang J, Rao X and Cong Y. (2016). Vi capsular polysaccharide: synthesis, virulence, and application. </w:t>
      </w:r>
      <w:r w:rsidRPr="005F5D7D">
        <w:rPr>
          <w:rFonts w:cstheme="minorHAnsi"/>
          <w:i/>
          <w:iCs/>
          <w:sz w:val="20"/>
          <w:szCs w:val="20"/>
          <w:lang w:val="en-US"/>
        </w:rPr>
        <w:t>Critical Reviews in Microbiology</w:t>
      </w:r>
      <w:r w:rsidRPr="005F5D7D">
        <w:rPr>
          <w:rFonts w:cstheme="minorHAnsi"/>
          <w:sz w:val="20"/>
          <w:szCs w:val="20"/>
          <w:lang w:val="en-US"/>
        </w:rPr>
        <w:t>. 43, 440-452.</w:t>
      </w:r>
    </w:p>
    <w:p w:rsidR="0021063D" w:rsidRPr="005F5D7D" w:rsidRDefault="0021063D" w:rsidP="005F5D7D">
      <w:pPr>
        <w:pStyle w:val="Paragraphedeliste"/>
        <w:numPr>
          <w:ilvl w:val="0"/>
          <w:numId w:val="9"/>
        </w:numPr>
        <w:jc w:val="both"/>
        <w:rPr>
          <w:rFonts w:cstheme="minorHAnsi"/>
          <w:b/>
          <w:bCs/>
          <w:sz w:val="20"/>
          <w:szCs w:val="20"/>
          <w:lang w:val="en-US"/>
        </w:rPr>
      </w:pPr>
      <w:r w:rsidRPr="005F5D7D">
        <w:rPr>
          <w:rFonts w:cstheme="minorHAnsi"/>
          <w:sz w:val="20"/>
          <w:szCs w:val="20"/>
          <w:lang w:val="en-US"/>
        </w:rPr>
        <w:t xml:space="preserve">Hurley D, Mccusker M.P, Faning S, Martins M. (2014). </w:t>
      </w:r>
      <w:r w:rsidR="00B7408B" w:rsidRPr="005F5D7D">
        <w:rPr>
          <w:rFonts w:cstheme="minorHAnsi"/>
          <w:sz w:val="20"/>
          <w:szCs w:val="20"/>
          <w:lang w:val="en-US"/>
        </w:rPr>
        <w:t xml:space="preserve"> </w:t>
      </w:r>
      <w:r w:rsidRPr="005F5D7D">
        <w:rPr>
          <w:rFonts w:cstheme="minorHAnsi"/>
          <w:i/>
          <w:iCs/>
          <w:sz w:val="20"/>
          <w:szCs w:val="20"/>
          <w:lang w:val="en-US"/>
        </w:rPr>
        <w:t>Salmonella</w:t>
      </w:r>
      <w:r w:rsidR="00110BC1" w:rsidRPr="005F5D7D">
        <w:rPr>
          <w:rFonts w:cstheme="minorHAnsi"/>
          <w:sz w:val="20"/>
          <w:szCs w:val="20"/>
          <w:lang w:val="en-US"/>
        </w:rPr>
        <w:t>-host interactions-</w:t>
      </w:r>
      <w:r w:rsidRPr="005F5D7D">
        <w:rPr>
          <w:rFonts w:cstheme="minorHAnsi"/>
          <w:sz w:val="20"/>
          <w:szCs w:val="20"/>
          <w:lang w:val="en-US"/>
        </w:rPr>
        <w:t>modulation of the host innate immune syste</w:t>
      </w:r>
      <w:r w:rsidR="00AA2C02" w:rsidRPr="005F5D7D">
        <w:rPr>
          <w:rFonts w:cstheme="minorHAnsi"/>
          <w:sz w:val="20"/>
          <w:szCs w:val="20"/>
          <w:lang w:val="en-US"/>
        </w:rPr>
        <w:t>m.</w:t>
      </w:r>
      <w:r w:rsidRPr="005F5D7D">
        <w:rPr>
          <w:rFonts w:cstheme="minorHAnsi"/>
          <w:i/>
          <w:iCs/>
          <w:sz w:val="20"/>
          <w:szCs w:val="20"/>
          <w:lang w:val="en-US"/>
        </w:rPr>
        <w:t xml:space="preserve"> Frontiers in immunology</w:t>
      </w:r>
      <w:r w:rsidR="00AA2C02" w:rsidRPr="005F5D7D">
        <w:rPr>
          <w:rFonts w:cstheme="minorHAnsi"/>
          <w:sz w:val="20"/>
          <w:szCs w:val="20"/>
          <w:lang w:val="en-US"/>
        </w:rPr>
        <w:t>.</w:t>
      </w:r>
      <w:r w:rsidRPr="005F5D7D">
        <w:rPr>
          <w:rFonts w:cstheme="minorHAnsi"/>
          <w:i/>
          <w:iCs/>
          <w:sz w:val="20"/>
          <w:szCs w:val="20"/>
          <w:lang w:val="en-US"/>
        </w:rPr>
        <w:t xml:space="preserve"> </w:t>
      </w:r>
      <w:r w:rsidRPr="005F5D7D">
        <w:rPr>
          <w:rFonts w:cstheme="minorHAnsi"/>
          <w:sz w:val="20"/>
          <w:szCs w:val="20"/>
          <w:lang w:val="en-US"/>
        </w:rPr>
        <w:t>5, 1-11.</w:t>
      </w:r>
    </w:p>
    <w:p w:rsidR="0021063D" w:rsidRPr="005F5D7D" w:rsidRDefault="0021063D" w:rsidP="005F5D7D">
      <w:pPr>
        <w:pStyle w:val="Paragraphedeliste"/>
        <w:numPr>
          <w:ilvl w:val="0"/>
          <w:numId w:val="9"/>
        </w:numPr>
        <w:jc w:val="both"/>
        <w:rPr>
          <w:rFonts w:cstheme="minorHAnsi"/>
          <w:b/>
          <w:bCs/>
          <w:sz w:val="20"/>
          <w:szCs w:val="20"/>
          <w:lang w:val="en-US"/>
        </w:rPr>
      </w:pPr>
      <w:r w:rsidRPr="005F5D7D">
        <w:rPr>
          <w:rFonts w:cstheme="minorHAnsi"/>
          <w:sz w:val="20"/>
          <w:szCs w:val="20"/>
          <w:lang w:val="en-US"/>
        </w:rPr>
        <w:t xml:space="preserve">Kanagarajah S, Waldram A, Dolan G, Jenkins C, Ashton A.M, Martin, A.I.C, Davies  R., Frost, A, Dallman T.J, Depinna E.M, hawker  J.I, Ilson R and Grant K.A. (2017). Whole genome sequencing an outbreak of </w:t>
      </w:r>
      <w:r w:rsidRPr="005F5D7D">
        <w:rPr>
          <w:rFonts w:cstheme="minorHAnsi"/>
          <w:i/>
          <w:iCs/>
          <w:sz w:val="20"/>
          <w:szCs w:val="20"/>
          <w:lang w:val="en-US"/>
        </w:rPr>
        <w:t xml:space="preserve">salmonella enteritidis </w:t>
      </w:r>
      <w:r w:rsidRPr="005F5D7D">
        <w:rPr>
          <w:rFonts w:cstheme="minorHAnsi"/>
          <w:sz w:val="20"/>
          <w:szCs w:val="20"/>
          <w:lang w:val="en-US"/>
        </w:rPr>
        <w:t>associated with reptile feeder mice in the United Kingdom, 2012 2015</w:t>
      </w:r>
      <w:r w:rsidRPr="005F5D7D">
        <w:rPr>
          <w:rFonts w:cstheme="minorHAnsi"/>
          <w:i/>
          <w:iCs/>
          <w:sz w:val="20"/>
          <w:szCs w:val="20"/>
          <w:lang w:val="en-US"/>
        </w:rPr>
        <w:t>. Food microbiology</w:t>
      </w:r>
      <w:r w:rsidRPr="005F5D7D">
        <w:rPr>
          <w:rFonts w:cstheme="minorHAnsi"/>
          <w:sz w:val="20"/>
          <w:szCs w:val="20"/>
          <w:lang w:val="en-US"/>
        </w:rPr>
        <w:t>. 71, 32-38.</w:t>
      </w:r>
    </w:p>
    <w:p w:rsidR="0021063D" w:rsidRPr="005F5D7D" w:rsidRDefault="0021063D" w:rsidP="005F5D7D">
      <w:pPr>
        <w:pStyle w:val="Paragraphedeliste"/>
        <w:numPr>
          <w:ilvl w:val="0"/>
          <w:numId w:val="9"/>
        </w:numPr>
        <w:jc w:val="both"/>
        <w:rPr>
          <w:rFonts w:cstheme="minorHAnsi"/>
          <w:b/>
          <w:bCs/>
          <w:sz w:val="20"/>
          <w:szCs w:val="20"/>
          <w:lang w:val="en-US"/>
        </w:rPr>
      </w:pPr>
      <w:r w:rsidRPr="005F5D7D">
        <w:rPr>
          <w:rFonts w:cstheme="minorHAnsi"/>
          <w:sz w:val="20"/>
          <w:szCs w:val="20"/>
          <w:lang w:val="en-US"/>
        </w:rPr>
        <w:t xml:space="preserve">Kaur J and Jain S.K. (2012). Role of antigens and virulence factors of </w:t>
      </w:r>
      <w:r w:rsidRPr="005F5D7D">
        <w:rPr>
          <w:rFonts w:cstheme="minorHAnsi"/>
          <w:i/>
          <w:iCs/>
          <w:sz w:val="20"/>
          <w:szCs w:val="20"/>
          <w:lang w:val="en-US"/>
        </w:rPr>
        <w:t>Salmonella Enterica</w:t>
      </w:r>
      <w:r w:rsidRPr="005F5D7D">
        <w:rPr>
          <w:rFonts w:cstheme="minorHAnsi"/>
          <w:sz w:val="20"/>
          <w:szCs w:val="20"/>
          <w:lang w:val="en-US"/>
        </w:rPr>
        <w:t xml:space="preserve"> serovar Typhi in its pathogenesis. </w:t>
      </w:r>
      <w:r w:rsidRPr="005F5D7D">
        <w:rPr>
          <w:rFonts w:cstheme="minorHAnsi"/>
          <w:i/>
          <w:iCs/>
          <w:sz w:val="20"/>
          <w:szCs w:val="20"/>
          <w:lang w:val="en-US"/>
        </w:rPr>
        <w:t>Microbiological Research</w:t>
      </w:r>
      <w:r w:rsidRPr="005F5D7D">
        <w:rPr>
          <w:rFonts w:cstheme="minorHAnsi"/>
          <w:sz w:val="20"/>
          <w:szCs w:val="20"/>
          <w:lang w:val="en-US"/>
        </w:rPr>
        <w:t>. 167, 199-210.</w:t>
      </w:r>
    </w:p>
    <w:p w:rsidR="0021063D" w:rsidRPr="005F5D7D" w:rsidRDefault="0021063D" w:rsidP="005F5D7D">
      <w:pPr>
        <w:pStyle w:val="Paragraphedeliste"/>
        <w:numPr>
          <w:ilvl w:val="0"/>
          <w:numId w:val="9"/>
        </w:numPr>
        <w:jc w:val="both"/>
        <w:rPr>
          <w:rFonts w:cstheme="minorHAnsi"/>
          <w:b/>
          <w:bCs/>
          <w:sz w:val="20"/>
          <w:szCs w:val="20"/>
          <w:lang w:val="en-US"/>
        </w:rPr>
      </w:pPr>
      <w:r w:rsidRPr="005F5D7D">
        <w:rPr>
          <w:rFonts w:cstheme="minorHAnsi"/>
          <w:sz w:val="20"/>
          <w:szCs w:val="20"/>
          <w:lang w:val="en-US"/>
        </w:rPr>
        <w:t xml:space="preserve">Keestra-Gounder A.M, Tsolis R.M and Bäumler A. (2015). Now you see me now you don’t: the interaction of </w:t>
      </w:r>
      <w:r w:rsidRPr="005F5D7D">
        <w:rPr>
          <w:rFonts w:cstheme="minorHAnsi"/>
          <w:i/>
          <w:iCs/>
          <w:sz w:val="20"/>
          <w:szCs w:val="20"/>
          <w:lang w:val="en-US"/>
        </w:rPr>
        <w:t>salmonella</w:t>
      </w:r>
      <w:r w:rsidRPr="005F5D7D">
        <w:rPr>
          <w:rFonts w:cstheme="minorHAnsi"/>
          <w:sz w:val="20"/>
          <w:szCs w:val="20"/>
          <w:lang w:val="en-US"/>
        </w:rPr>
        <w:t xml:space="preserve"> with innate immune receptor. </w:t>
      </w:r>
      <w:r w:rsidRPr="005F5D7D">
        <w:rPr>
          <w:rFonts w:cstheme="minorHAnsi"/>
          <w:i/>
          <w:iCs/>
          <w:sz w:val="20"/>
          <w:szCs w:val="20"/>
          <w:lang w:val="en-US"/>
        </w:rPr>
        <w:t>Nature Review Microbiology</w:t>
      </w:r>
      <w:r w:rsidRPr="005F5D7D">
        <w:rPr>
          <w:rFonts w:cstheme="minorHAnsi"/>
          <w:sz w:val="20"/>
          <w:szCs w:val="20"/>
          <w:lang w:val="en-US"/>
        </w:rPr>
        <w:t>. 13, 206-216.</w:t>
      </w:r>
    </w:p>
    <w:p w:rsidR="0021063D" w:rsidRPr="005F5D7D" w:rsidRDefault="0021063D" w:rsidP="005F5D7D">
      <w:pPr>
        <w:pStyle w:val="Paragraphedeliste"/>
        <w:numPr>
          <w:ilvl w:val="0"/>
          <w:numId w:val="9"/>
        </w:numPr>
        <w:jc w:val="both"/>
        <w:rPr>
          <w:rFonts w:cstheme="minorHAnsi"/>
          <w:b/>
          <w:bCs/>
          <w:sz w:val="20"/>
          <w:szCs w:val="20"/>
          <w:lang w:val="en-US"/>
        </w:rPr>
      </w:pPr>
      <w:r w:rsidRPr="005F5D7D">
        <w:rPr>
          <w:rFonts w:cstheme="minorHAnsi"/>
          <w:sz w:val="20"/>
          <w:szCs w:val="20"/>
          <w:lang w:val="en-US"/>
        </w:rPr>
        <w:t>Krüger C.L, Zeuner M.T, Cotrell G.S, Widera D and Heilemann M. (2017). Quantative singal-molecule imaging of TLR4 reveals ligand specific receptor dimerization.</w:t>
      </w:r>
      <w:r w:rsidRPr="005F5D7D">
        <w:rPr>
          <w:rFonts w:cstheme="minorHAnsi"/>
          <w:i/>
          <w:iCs/>
          <w:sz w:val="20"/>
          <w:szCs w:val="20"/>
          <w:lang w:val="en-US"/>
        </w:rPr>
        <w:t xml:space="preserve"> Science signaling </w:t>
      </w:r>
      <w:r w:rsidRPr="005F5D7D">
        <w:rPr>
          <w:rFonts w:cstheme="minorHAnsi"/>
          <w:sz w:val="20"/>
          <w:szCs w:val="20"/>
          <w:lang w:val="en-US"/>
        </w:rPr>
        <w:t>10, 1-10</w:t>
      </w:r>
    </w:p>
    <w:p w:rsidR="0021063D" w:rsidRPr="005F5D7D" w:rsidRDefault="0021063D" w:rsidP="005F5D7D">
      <w:pPr>
        <w:pStyle w:val="Paragraphedeliste"/>
        <w:numPr>
          <w:ilvl w:val="0"/>
          <w:numId w:val="9"/>
        </w:numPr>
        <w:jc w:val="both"/>
        <w:rPr>
          <w:rFonts w:cstheme="minorHAnsi"/>
          <w:b/>
          <w:bCs/>
          <w:sz w:val="20"/>
          <w:szCs w:val="20"/>
          <w:lang w:val="en-US"/>
        </w:rPr>
      </w:pPr>
      <w:r w:rsidRPr="005F5D7D">
        <w:rPr>
          <w:rFonts w:cstheme="minorHAnsi"/>
          <w:sz w:val="20"/>
          <w:szCs w:val="20"/>
          <w:lang w:val="en-US"/>
        </w:rPr>
        <w:lastRenderedPageBreak/>
        <w:t xml:space="preserve">Kurtz J.R, Goggins A and Jams B. (2017). </w:t>
      </w:r>
      <w:r w:rsidRPr="005F5D7D">
        <w:rPr>
          <w:rFonts w:cstheme="minorHAnsi"/>
          <w:i/>
          <w:iCs/>
          <w:sz w:val="20"/>
          <w:szCs w:val="20"/>
          <w:lang w:val="en-US"/>
        </w:rPr>
        <w:t>Salmonella</w:t>
      </w:r>
      <w:r w:rsidRPr="005F5D7D">
        <w:rPr>
          <w:rFonts w:cstheme="minorHAnsi"/>
          <w:sz w:val="20"/>
          <w:szCs w:val="20"/>
          <w:lang w:val="en-US"/>
        </w:rPr>
        <w:t xml:space="preserve"> infection: interplay between the bacteria and host immune. </w:t>
      </w:r>
      <w:r w:rsidRPr="005F5D7D">
        <w:rPr>
          <w:rFonts w:cstheme="minorHAnsi"/>
          <w:i/>
          <w:iCs/>
          <w:sz w:val="20"/>
          <w:szCs w:val="20"/>
          <w:lang w:val="en-US"/>
        </w:rPr>
        <w:t>Immunology letter</w:t>
      </w:r>
      <w:r w:rsidRPr="005F5D7D">
        <w:rPr>
          <w:rFonts w:cstheme="minorHAnsi"/>
          <w:sz w:val="20"/>
          <w:szCs w:val="20"/>
          <w:lang w:val="en-US"/>
        </w:rPr>
        <w:t xml:space="preserve">. 190, 42-50. </w:t>
      </w:r>
    </w:p>
    <w:p w:rsidR="0021063D" w:rsidRPr="005F5D7D" w:rsidRDefault="0021063D" w:rsidP="005F5D7D">
      <w:pPr>
        <w:pStyle w:val="Paragraphedeliste"/>
        <w:numPr>
          <w:ilvl w:val="0"/>
          <w:numId w:val="9"/>
        </w:numPr>
        <w:jc w:val="both"/>
        <w:rPr>
          <w:rFonts w:cstheme="minorHAnsi"/>
          <w:b/>
          <w:bCs/>
          <w:sz w:val="20"/>
          <w:szCs w:val="20"/>
          <w:lang w:val="en-US"/>
        </w:rPr>
      </w:pPr>
      <w:r w:rsidRPr="005F5D7D">
        <w:rPr>
          <w:rFonts w:cstheme="minorHAnsi"/>
          <w:sz w:val="20"/>
          <w:szCs w:val="20"/>
        </w:rPr>
        <w:t xml:space="preserve">Lamas A, Miranda  Z.M, Regal P, Vàsquez B, Franco,  C.M, Cepeda  A. (2018). </w:t>
      </w:r>
      <w:r w:rsidRPr="005F5D7D">
        <w:rPr>
          <w:rFonts w:cstheme="minorHAnsi"/>
          <w:sz w:val="20"/>
          <w:szCs w:val="20"/>
          <w:lang w:val="en-US"/>
        </w:rPr>
        <w:t>A comprehensive review of non-</w:t>
      </w:r>
      <w:r w:rsidRPr="005F5D7D">
        <w:rPr>
          <w:rFonts w:cstheme="minorHAnsi"/>
          <w:i/>
          <w:iCs/>
          <w:sz w:val="20"/>
          <w:szCs w:val="20"/>
          <w:lang w:val="en-US"/>
        </w:rPr>
        <w:t>enterica</w:t>
      </w:r>
      <w:r w:rsidRPr="005F5D7D">
        <w:rPr>
          <w:rFonts w:cstheme="minorHAnsi"/>
          <w:sz w:val="20"/>
          <w:szCs w:val="20"/>
          <w:lang w:val="en-US"/>
        </w:rPr>
        <w:t xml:space="preserve"> subspecies of </w:t>
      </w:r>
      <w:r w:rsidRPr="005F5D7D">
        <w:rPr>
          <w:rFonts w:cstheme="minorHAnsi"/>
          <w:i/>
          <w:iCs/>
          <w:sz w:val="20"/>
          <w:szCs w:val="20"/>
          <w:lang w:val="en-US"/>
        </w:rPr>
        <w:t>salmonella enteric</w:t>
      </w:r>
      <w:r w:rsidRPr="005F5D7D">
        <w:rPr>
          <w:rFonts w:cstheme="minorHAnsi"/>
          <w:sz w:val="20"/>
          <w:szCs w:val="20"/>
          <w:lang w:val="en-US"/>
        </w:rPr>
        <w:t xml:space="preserve">. </w:t>
      </w:r>
      <w:r w:rsidRPr="005F5D7D">
        <w:rPr>
          <w:rFonts w:cstheme="minorHAnsi"/>
          <w:i/>
          <w:iCs/>
          <w:sz w:val="20"/>
          <w:szCs w:val="20"/>
          <w:lang w:val="en-US"/>
        </w:rPr>
        <w:t>Microbiological research</w:t>
      </w:r>
      <w:r w:rsidRPr="005F5D7D">
        <w:rPr>
          <w:rFonts w:cstheme="minorHAnsi"/>
          <w:sz w:val="20"/>
          <w:szCs w:val="20"/>
          <w:lang w:val="en-US"/>
        </w:rPr>
        <w:t xml:space="preserve"> 206, 60-73.    </w:t>
      </w:r>
    </w:p>
    <w:p w:rsidR="0021063D" w:rsidRPr="005F5D7D" w:rsidRDefault="0021063D" w:rsidP="005F5D7D">
      <w:pPr>
        <w:pStyle w:val="Paragraphedeliste"/>
        <w:numPr>
          <w:ilvl w:val="0"/>
          <w:numId w:val="9"/>
        </w:numPr>
        <w:jc w:val="both"/>
        <w:rPr>
          <w:rFonts w:cstheme="minorHAnsi"/>
          <w:b/>
          <w:bCs/>
          <w:sz w:val="20"/>
          <w:szCs w:val="20"/>
          <w:lang w:val="en-US"/>
        </w:rPr>
      </w:pPr>
      <w:r w:rsidRPr="005F5D7D">
        <w:rPr>
          <w:rFonts w:cstheme="minorHAnsi"/>
          <w:sz w:val="20"/>
          <w:szCs w:val="20"/>
          <w:lang w:val="en-US"/>
        </w:rPr>
        <w:t xml:space="preserve">LaRock D.L, Chaudhary A and Miller S.I. (2015). </w:t>
      </w:r>
      <w:r w:rsidRPr="005F5D7D">
        <w:rPr>
          <w:rFonts w:cstheme="minorHAnsi"/>
          <w:i/>
          <w:iCs/>
          <w:sz w:val="20"/>
          <w:szCs w:val="20"/>
          <w:lang w:val="en-US"/>
        </w:rPr>
        <w:t xml:space="preserve">Salmonella </w:t>
      </w:r>
      <w:r w:rsidRPr="005F5D7D">
        <w:rPr>
          <w:rFonts w:cstheme="minorHAnsi"/>
          <w:sz w:val="20"/>
          <w:szCs w:val="20"/>
          <w:lang w:val="en-US"/>
        </w:rPr>
        <w:t>interactions with host processes. Nature Reviews Microbiology. 13, 191-205.</w:t>
      </w:r>
    </w:p>
    <w:p w:rsidR="0021063D" w:rsidRPr="005F5D7D" w:rsidRDefault="0021063D" w:rsidP="005F5D7D">
      <w:pPr>
        <w:pStyle w:val="Paragraphedeliste"/>
        <w:numPr>
          <w:ilvl w:val="0"/>
          <w:numId w:val="9"/>
        </w:numPr>
        <w:jc w:val="both"/>
        <w:rPr>
          <w:rFonts w:cstheme="minorHAnsi"/>
          <w:b/>
          <w:bCs/>
          <w:i/>
          <w:iCs/>
          <w:sz w:val="20"/>
          <w:szCs w:val="20"/>
          <w:lang w:val="en-US"/>
        </w:rPr>
      </w:pPr>
      <w:r w:rsidRPr="005F5D7D">
        <w:rPr>
          <w:rFonts w:cstheme="minorHAnsi"/>
          <w:sz w:val="20"/>
          <w:szCs w:val="20"/>
          <w:lang w:val="en-US"/>
        </w:rPr>
        <w:t xml:space="preserve">Laughlin R.C, Knodler, L.A, Barhoumi R, Payne R.H, Wu D, Gomez G, Pugh R, Lawhon S.D, Bäumler A.J, Steele-Mortimer O and Adams L,G. Spatial segregation of virulence gene expression during acute enteric infection with </w:t>
      </w:r>
      <w:r w:rsidRPr="005F5D7D">
        <w:rPr>
          <w:rFonts w:cstheme="minorHAnsi"/>
          <w:i/>
          <w:iCs/>
          <w:sz w:val="20"/>
          <w:szCs w:val="20"/>
          <w:lang w:val="en-US"/>
        </w:rPr>
        <w:t>Salmonella enterica</w:t>
      </w:r>
      <w:r w:rsidRPr="005F5D7D">
        <w:rPr>
          <w:rFonts w:cstheme="minorHAnsi"/>
          <w:sz w:val="20"/>
          <w:szCs w:val="20"/>
          <w:lang w:val="en-US"/>
        </w:rPr>
        <w:t xml:space="preserve"> serovar </w:t>
      </w:r>
      <w:r w:rsidRPr="005F5D7D">
        <w:rPr>
          <w:rFonts w:cstheme="minorHAnsi"/>
          <w:i/>
          <w:iCs/>
          <w:sz w:val="20"/>
          <w:szCs w:val="20"/>
          <w:lang w:val="en-US"/>
        </w:rPr>
        <w:t>typhimurium</w:t>
      </w:r>
      <w:r w:rsidRPr="005F5D7D">
        <w:rPr>
          <w:rFonts w:cstheme="minorHAnsi"/>
          <w:sz w:val="20"/>
          <w:szCs w:val="20"/>
          <w:lang w:val="en-US"/>
        </w:rPr>
        <w:t xml:space="preserve">. </w:t>
      </w:r>
      <w:r w:rsidRPr="005F5D7D">
        <w:rPr>
          <w:rFonts w:cstheme="minorHAnsi"/>
          <w:i/>
          <w:iCs/>
          <w:sz w:val="20"/>
          <w:szCs w:val="20"/>
          <w:lang w:val="en-US"/>
        </w:rPr>
        <w:t>Microbiology</w:t>
      </w:r>
      <w:r w:rsidRPr="005F5D7D">
        <w:rPr>
          <w:rFonts w:cstheme="minorHAnsi"/>
          <w:sz w:val="20"/>
          <w:szCs w:val="20"/>
          <w:lang w:val="en-US"/>
        </w:rPr>
        <w:t>. 5, 1-11</w:t>
      </w:r>
    </w:p>
    <w:p w:rsidR="0021063D" w:rsidRPr="005F5D7D" w:rsidRDefault="0021063D" w:rsidP="005F5D7D">
      <w:pPr>
        <w:pStyle w:val="Paragraphedeliste"/>
        <w:numPr>
          <w:ilvl w:val="0"/>
          <w:numId w:val="9"/>
        </w:numPr>
        <w:jc w:val="both"/>
        <w:rPr>
          <w:rFonts w:cstheme="minorHAnsi"/>
          <w:b/>
          <w:bCs/>
          <w:sz w:val="20"/>
          <w:szCs w:val="20"/>
          <w:lang w:val="en-US"/>
        </w:rPr>
      </w:pPr>
      <w:r w:rsidRPr="005F5D7D">
        <w:rPr>
          <w:rFonts w:cstheme="minorHAnsi"/>
          <w:sz w:val="20"/>
          <w:szCs w:val="20"/>
          <w:lang w:val="en-US"/>
        </w:rPr>
        <w:t xml:space="preserve">Lianou A, Nychas G.E and Koutsoumanis K.P. (2017). Variability in the adaptive acid tolerance response phenotype of </w:t>
      </w:r>
      <w:r w:rsidRPr="005F5D7D">
        <w:rPr>
          <w:rFonts w:cstheme="minorHAnsi"/>
          <w:i/>
          <w:iCs/>
          <w:sz w:val="20"/>
          <w:szCs w:val="20"/>
          <w:lang w:val="en-US"/>
        </w:rPr>
        <w:t>Salmonella enterica</w:t>
      </w:r>
      <w:r w:rsidRPr="005F5D7D">
        <w:rPr>
          <w:rFonts w:cstheme="minorHAnsi"/>
          <w:sz w:val="20"/>
          <w:szCs w:val="20"/>
          <w:lang w:val="en-US"/>
        </w:rPr>
        <w:t xml:space="preserve"> strains. </w:t>
      </w:r>
      <w:r w:rsidRPr="005F5D7D">
        <w:rPr>
          <w:rFonts w:cstheme="minorHAnsi"/>
          <w:i/>
          <w:iCs/>
          <w:sz w:val="20"/>
          <w:szCs w:val="20"/>
          <w:lang w:val="en-US"/>
        </w:rPr>
        <w:t>Food Microbiology</w:t>
      </w:r>
      <w:r w:rsidRPr="005F5D7D">
        <w:rPr>
          <w:rFonts w:cstheme="minorHAnsi"/>
          <w:sz w:val="20"/>
          <w:szCs w:val="20"/>
          <w:lang w:val="en-US"/>
        </w:rPr>
        <w:t>. 62, 99-105</w:t>
      </w:r>
    </w:p>
    <w:p w:rsidR="0021063D" w:rsidRPr="005F5D7D" w:rsidRDefault="0021063D" w:rsidP="005F5D7D">
      <w:pPr>
        <w:pStyle w:val="Paragraphedeliste"/>
        <w:numPr>
          <w:ilvl w:val="0"/>
          <w:numId w:val="9"/>
        </w:numPr>
        <w:jc w:val="both"/>
        <w:rPr>
          <w:rFonts w:cstheme="minorHAnsi"/>
          <w:b/>
          <w:bCs/>
          <w:sz w:val="20"/>
          <w:szCs w:val="20"/>
          <w:lang w:val="en-US"/>
        </w:rPr>
      </w:pPr>
      <w:r w:rsidRPr="005F5D7D">
        <w:rPr>
          <w:rFonts w:cstheme="minorHAnsi"/>
          <w:sz w:val="20"/>
          <w:szCs w:val="20"/>
          <w:lang w:val="en-US"/>
        </w:rPr>
        <w:t>Lòpez-Yglesias H.A, Zhao X, Quarles, E.K, Lai M.A, Vandenbos T, Strong R.k and Smith K.D. (2014). Flagellin induces antibody responses through a TLR5- and inflammasome independent Pathway</w:t>
      </w:r>
      <w:r w:rsidRPr="005F5D7D">
        <w:rPr>
          <w:rFonts w:cstheme="minorHAnsi"/>
          <w:i/>
          <w:iCs/>
          <w:sz w:val="20"/>
          <w:szCs w:val="20"/>
          <w:lang w:val="en-US"/>
        </w:rPr>
        <w:t>. The Journal of Immunology</w:t>
      </w:r>
      <w:r w:rsidRPr="005F5D7D">
        <w:rPr>
          <w:rFonts w:cstheme="minorHAnsi"/>
          <w:sz w:val="20"/>
          <w:szCs w:val="20"/>
          <w:lang w:val="en-US"/>
        </w:rPr>
        <w:t>. 192, 1587-1596.</w:t>
      </w:r>
    </w:p>
    <w:p w:rsidR="0021063D" w:rsidRPr="005F5D7D" w:rsidRDefault="0021063D" w:rsidP="005F5D7D">
      <w:pPr>
        <w:pStyle w:val="Paragraphedeliste"/>
        <w:numPr>
          <w:ilvl w:val="0"/>
          <w:numId w:val="9"/>
        </w:numPr>
        <w:jc w:val="both"/>
        <w:rPr>
          <w:rFonts w:cstheme="minorHAnsi"/>
          <w:b/>
          <w:bCs/>
          <w:sz w:val="20"/>
          <w:szCs w:val="20"/>
          <w:lang w:val="en-US"/>
        </w:rPr>
      </w:pPr>
      <w:r w:rsidRPr="005F5D7D">
        <w:rPr>
          <w:rFonts w:cstheme="minorHAnsi"/>
          <w:sz w:val="20"/>
          <w:szCs w:val="20"/>
          <w:lang w:val="en-US"/>
        </w:rPr>
        <w:t xml:space="preserve">Maghini-Gas L, Franz E and Pelt W.V. (2017). New paradigms for salmonella source attribution based on microbial subtyping. </w:t>
      </w:r>
      <w:r w:rsidRPr="005F5D7D">
        <w:rPr>
          <w:rFonts w:cstheme="minorHAnsi"/>
          <w:i/>
          <w:iCs/>
          <w:sz w:val="20"/>
          <w:szCs w:val="20"/>
          <w:lang w:val="en-US"/>
        </w:rPr>
        <w:t>Food Microbiology</w:t>
      </w:r>
      <w:r w:rsidRPr="005F5D7D">
        <w:rPr>
          <w:rFonts w:cstheme="minorHAnsi"/>
          <w:sz w:val="20"/>
          <w:szCs w:val="20"/>
          <w:lang w:val="en-US"/>
        </w:rPr>
        <w:t>. 71, 60-67.</w:t>
      </w:r>
    </w:p>
    <w:p w:rsidR="0021063D" w:rsidRPr="005F5D7D" w:rsidRDefault="0021063D" w:rsidP="005F5D7D">
      <w:pPr>
        <w:pStyle w:val="Paragraphedeliste"/>
        <w:numPr>
          <w:ilvl w:val="0"/>
          <w:numId w:val="9"/>
        </w:numPr>
        <w:jc w:val="both"/>
        <w:rPr>
          <w:rFonts w:cstheme="minorHAnsi"/>
          <w:b/>
          <w:bCs/>
          <w:sz w:val="20"/>
          <w:szCs w:val="20"/>
          <w:lang w:val="en-US"/>
        </w:rPr>
      </w:pPr>
      <w:r w:rsidRPr="005F5D7D">
        <w:rPr>
          <w:rFonts w:cstheme="minorHAnsi"/>
          <w:sz w:val="20"/>
          <w:szCs w:val="20"/>
          <w:lang w:val="en-US"/>
        </w:rPr>
        <w:t xml:space="preserve">Martinez-Becerra F.G, Kumar P, Vishwakarma V, Kim, G.H, Arizmendi O, Middaugh C.R, Picking W.D, and Picking W.L. (2018). Characterization and protective efficacy of type three secretion proteins as a broadly protective subunit vaccine against </w:t>
      </w:r>
      <w:r w:rsidRPr="005F5D7D">
        <w:rPr>
          <w:rFonts w:cstheme="minorHAnsi"/>
          <w:i/>
          <w:iCs/>
          <w:sz w:val="20"/>
          <w:szCs w:val="20"/>
          <w:lang w:val="en-US"/>
        </w:rPr>
        <w:t>Salmonella enterica</w:t>
      </w:r>
      <w:r w:rsidRPr="005F5D7D">
        <w:rPr>
          <w:rFonts w:cstheme="minorHAnsi"/>
          <w:sz w:val="20"/>
          <w:szCs w:val="20"/>
          <w:lang w:val="en-US"/>
        </w:rPr>
        <w:t xml:space="preserve"> serovars.</w:t>
      </w:r>
      <w:r w:rsidRPr="005F5D7D">
        <w:rPr>
          <w:rFonts w:cstheme="minorHAnsi"/>
          <w:i/>
          <w:iCs/>
          <w:sz w:val="20"/>
          <w:szCs w:val="20"/>
          <w:shd w:val="clear" w:color="auto" w:fill="FFFFFF"/>
          <w:lang w:val="en-US"/>
        </w:rPr>
        <w:t xml:space="preserve"> </w:t>
      </w:r>
      <w:r w:rsidRPr="005F5D7D">
        <w:rPr>
          <w:rStyle w:val="Accentuation"/>
          <w:rFonts w:cstheme="minorHAnsi"/>
          <w:sz w:val="20"/>
          <w:szCs w:val="20"/>
          <w:shd w:val="clear" w:color="auto" w:fill="FFFFFF"/>
          <w:lang w:val="en-US"/>
        </w:rPr>
        <w:t>Veterinary Medical Science</w:t>
      </w:r>
      <w:r w:rsidRPr="005F5D7D">
        <w:rPr>
          <w:rStyle w:val="Accentuation"/>
          <w:rFonts w:cstheme="minorHAnsi"/>
          <w:i w:val="0"/>
          <w:iCs w:val="0"/>
          <w:sz w:val="20"/>
          <w:szCs w:val="20"/>
          <w:shd w:val="clear" w:color="auto" w:fill="FFFFFF"/>
          <w:lang w:val="en-US"/>
        </w:rPr>
        <w:t>.</w:t>
      </w:r>
      <w:r w:rsidRPr="005F5D7D">
        <w:rPr>
          <w:rFonts w:cstheme="minorHAnsi"/>
          <w:sz w:val="20"/>
          <w:szCs w:val="20"/>
          <w:lang w:val="en-US"/>
        </w:rPr>
        <w:t xml:space="preserve"> </w:t>
      </w:r>
      <w:r w:rsidRPr="005F5D7D">
        <w:rPr>
          <w:rFonts w:cstheme="minorHAnsi"/>
          <w:sz w:val="20"/>
          <w:szCs w:val="20"/>
          <w:shd w:val="clear" w:color="auto" w:fill="FFFFFF"/>
          <w:lang w:val="en-US"/>
        </w:rPr>
        <w:t>4, 26-34</w:t>
      </w:r>
    </w:p>
    <w:p w:rsidR="0021063D" w:rsidRPr="005F5D7D" w:rsidRDefault="0021063D" w:rsidP="005F5D7D">
      <w:pPr>
        <w:pStyle w:val="Paragraphedeliste"/>
        <w:numPr>
          <w:ilvl w:val="0"/>
          <w:numId w:val="9"/>
        </w:numPr>
        <w:jc w:val="both"/>
        <w:rPr>
          <w:rFonts w:cstheme="minorHAnsi"/>
          <w:b/>
          <w:bCs/>
          <w:sz w:val="20"/>
          <w:szCs w:val="20"/>
          <w:highlight w:val="yellow"/>
          <w:lang w:val="en-US"/>
        </w:rPr>
      </w:pPr>
      <w:r w:rsidRPr="005F5D7D">
        <w:rPr>
          <w:rFonts w:cstheme="minorHAnsi"/>
          <w:sz w:val="20"/>
          <w:szCs w:val="20"/>
          <w:lang w:val="en-US"/>
        </w:rPr>
        <w:t xml:space="preserve">Minamino T. (2014). Protein export through the bacterial flagellar type III export pathway. </w:t>
      </w:r>
      <w:r w:rsidRPr="005F5D7D">
        <w:rPr>
          <w:rFonts w:cstheme="minorHAnsi"/>
          <w:i/>
          <w:iCs/>
          <w:sz w:val="20"/>
          <w:szCs w:val="20"/>
          <w:lang w:val="en-US"/>
        </w:rPr>
        <w:t>Biochimica et Biophysica Acta</w:t>
      </w:r>
      <w:r w:rsidRPr="005F5D7D">
        <w:rPr>
          <w:rFonts w:cstheme="minorHAnsi"/>
          <w:sz w:val="20"/>
          <w:szCs w:val="20"/>
          <w:lang w:val="en-US"/>
        </w:rPr>
        <w:t>. 1843, 1642-1648.</w:t>
      </w:r>
    </w:p>
    <w:p w:rsidR="0021063D" w:rsidRPr="005F5D7D" w:rsidRDefault="0021063D" w:rsidP="005F5D7D">
      <w:pPr>
        <w:pStyle w:val="Paragraphedeliste"/>
        <w:numPr>
          <w:ilvl w:val="0"/>
          <w:numId w:val="9"/>
        </w:numPr>
        <w:jc w:val="both"/>
        <w:rPr>
          <w:rFonts w:cstheme="minorHAnsi"/>
          <w:b/>
          <w:bCs/>
          <w:sz w:val="20"/>
          <w:szCs w:val="20"/>
          <w:lang w:val="en-US"/>
        </w:rPr>
      </w:pPr>
      <w:r w:rsidRPr="005F5D7D">
        <w:rPr>
          <w:rFonts w:cstheme="minorHAnsi"/>
          <w:sz w:val="20"/>
          <w:szCs w:val="20"/>
          <w:lang w:val="en-US"/>
        </w:rPr>
        <w:t xml:space="preserve">Miyata S.T, Bachmann V, and Pukatzki S. (2013). Type VI secretion system regulation as a consequence of </w:t>
      </w:r>
      <w:r w:rsidRPr="005F5D7D">
        <w:rPr>
          <w:rFonts w:cstheme="minorHAnsi"/>
          <w:sz w:val="20"/>
          <w:szCs w:val="20"/>
          <w:lang w:val="en-US"/>
        </w:rPr>
        <w:lastRenderedPageBreak/>
        <w:t xml:space="preserve">evolutionary pressure. </w:t>
      </w:r>
      <w:r w:rsidRPr="005F5D7D">
        <w:rPr>
          <w:rFonts w:cstheme="minorHAnsi"/>
          <w:i/>
          <w:iCs/>
          <w:sz w:val="20"/>
          <w:szCs w:val="20"/>
          <w:lang w:val="en-US"/>
        </w:rPr>
        <w:t>Journal of medical microbiology</w:t>
      </w:r>
      <w:r w:rsidR="00DF7D27" w:rsidRPr="005F5D7D">
        <w:rPr>
          <w:rFonts w:cstheme="minorHAnsi"/>
          <w:sz w:val="20"/>
          <w:szCs w:val="20"/>
          <w:lang w:val="en-US"/>
        </w:rPr>
        <w:t>.</w:t>
      </w:r>
      <w:r w:rsidRPr="005F5D7D">
        <w:rPr>
          <w:rFonts w:cstheme="minorHAnsi"/>
          <w:sz w:val="20"/>
          <w:szCs w:val="20"/>
          <w:lang w:val="en-US"/>
        </w:rPr>
        <w:t xml:space="preserve"> 62, 663-676. </w:t>
      </w:r>
    </w:p>
    <w:p w:rsidR="0021063D" w:rsidRPr="005F5D7D" w:rsidRDefault="0021063D" w:rsidP="005F5D7D">
      <w:pPr>
        <w:pStyle w:val="Paragraphedeliste"/>
        <w:numPr>
          <w:ilvl w:val="0"/>
          <w:numId w:val="9"/>
        </w:numPr>
        <w:jc w:val="both"/>
        <w:rPr>
          <w:rFonts w:cstheme="minorHAnsi"/>
          <w:b/>
          <w:bCs/>
          <w:sz w:val="20"/>
          <w:szCs w:val="20"/>
          <w:highlight w:val="yellow"/>
          <w:lang w:val="en-US"/>
        </w:rPr>
      </w:pPr>
      <w:r w:rsidRPr="005F5D7D">
        <w:rPr>
          <w:rFonts w:cstheme="minorHAnsi"/>
          <w:sz w:val="20"/>
          <w:szCs w:val="20"/>
          <w:lang w:val="en-US"/>
        </w:rPr>
        <w:t xml:space="preserve">Moor K, Diard M, Sellin M.E, Felmy B, Wotzka S.Y, Toska A., Bakkeren E, Arnoldini M, Bansept F, Dal Co A, Völler T, Minola A, Fernandez-Rodriguez B et </w:t>
      </w:r>
      <w:r w:rsidRPr="005F5D7D">
        <w:rPr>
          <w:rFonts w:cstheme="minorHAnsi"/>
          <w:i/>
          <w:iCs/>
          <w:sz w:val="20"/>
          <w:szCs w:val="20"/>
          <w:lang w:val="en-US"/>
        </w:rPr>
        <w:t>al</w:t>
      </w:r>
      <w:r w:rsidRPr="005F5D7D">
        <w:rPr>
          <w:rFonts w:cstheme="minorHAnsi"/>
          <w:sz w:val="20"/>
          <w:szCs w:val="20"/>
          <w:lang w:val="en-US"/>
        </w:rPr>
        <w:t xml:space="preserve">. (2017). High-avidity IgA protects the intestine by enchaining growing bacteria. </w:t>
      </w:r>
      <w:r w:rsidRPr="005F5D7D">
        <w:rPr>
          <w:rFonts w:cstheme="minorHAnsi"/>
          <w:i/>
          <w:iCs/>
          <w:sz w:val="20"/>
          <w:szCs w:val="20"/>
          <w:lang w:val="en-US"/>
        </w:rPr>
        <w:t>Nature</w:t>
      </w:r>
      <w:r w:rsidRPr="005F5D7D">
        <w:rPr>
          <w:rFonts w:cstheme="minorHAnsi"/>
          <w:sz w:val="20"/>
          <w:szCs w:val="20"/>
          <w:lang w:val="en-US"/>
        </w:rPr>
        <w:t>. 544, 498-516.</w:t>
      </w:r>
    </w:p>
    <w:p w:rsidR="0021063D" w:rsidRPr="005F5D7D" w:rsidRDefault="0021063D" w:rsidP="005F5D7D">
      <w:pPr>
        <w:pStyle w:val="Paragraphedeliste"/>
        <w:numPr>
          <w:ilvl w:val="0"/>
          <w:numId w:val="9"/>
        </w:numPr>
        <w:jc w:val="both"/>
        <w:rPr>
          <w:rFonts w:cstheme="minorHAnsi"/>
          <w:b/>
          <w:bCs/>
          <w:sz w:val="20"/>
          <w:szCs w:val="20"/>
          <w:lang w:val="en-US"/>
        </w:rPr>
      </w:pPr>
      <w:r w:rsidRPr="005F5D7D">
        <w:rPr>
          <w:rFonts w:cstheme="minorHAnsi"/>
          <w:sz w:val="20"/>
          <w:szCs w:val="20"/>
          <w:lang w:val="en-US"/>
        </w:rPr>
        <w:t>Narayanan L.A and Edelmann M.J. (2014). Ubiquitination as an efficient molecular strategy employed in</w:t>
      </w:r>
      <w:r w:rsidRPr="005F5D7D">
        <w:rPr>
          <w:rFonts w:cstheme="minorHAnsi"/>
          <w:i/>
          <w:iCs/>
          <w:sz w:val="20"/>
          <w:szCs w:val="20"/>
          <w:lang w:val="en-US"/>
        </w:rPr>
        <w:t xml:space="preserve"> Salmonella</w:t>
      </w:r>
      <w:r w:rsidRPr="005F5D7D">
        <w:rPr>
          <w:rFonts w:cstheme="minorHAnsi"/>
          <w:sz w:val="20"/>
          <w:szCs w:val="20"/>
          <w:lang w:val="en-US"/>
        </w:rPr>
        <w:t xml:space="preserve"> infection. </w:t>
      </w:r>
      <w:r w:rsidRPr="005F5D7D">
        <w:rPr>
          <w:rFonts w:cstheme="minorHAnsi"/>
          <w:i/>
          <w:iCs/>
          <w:sz w:val="20"/>
          <w:szCs w:val="20"/>
          <w:lang w:val="en-US"/>
        </w:rPr>
        <w:t>Frontiers in Immunology</w:t>
      </w:r>
      <w:r w:rsidRPr="005F5D7D">
        <w:rPr>
          <w:rFonts w:cstheme="minorHAnsi"/>
          <w:sz w:val="20"/>
          <w:szCs w:val="20"/>
          <w:lang w:val="en-US"/>
        </w:rPr>
        <w:t>. 5, 1-7.</w:t>
      </w:r>
    </w:p>
    <w:p w:rsidR="0021063D" w:rsidRPr="005F5D7D" w:rsidRDefault="0021063D" w:rsidP="005F5D7D">
      <w:pPr>
        <w:pStyle w:val="Paragraphedeliste"/>
        <w:numPr>
          <w:ilvl w:val="0"/>
          <w:numId w:val="9"/>
        </w:numPr>
        <w:jc w:val="both"/>
        <w:rPr>
          <w:rFonts w:cstheme="minorHAnsi"/>
          <w:b/>
          <w:bCs/>
          <w:sz w:val="20"/>
          <w:szCs w:val="20"/>
          <w:lang w:val="en-US"/>
        </w:rPr>
      </w:pPr>
      <w:r w:rsidRPr="005F5D7D">
        <w:rPr>
          <w:rFonts w:cstheme="minorHAnsi"/>
          <w:sz w:val="20"/>
          <w:szCs w:val="20"/>
        </w:rPr>
        <w:t xml:space="preserve">Nguyen V.S, Douzi B, Durand E, Roussel A, Cascales E and Cambillau C. (2018). </w:t>
      </w:r>
      <w:r w:rsidRPr="005F5D7D">
        <w:rPr>
          <w:rFonts w:cstheme="minorHAnsi"/>
          <w:sz w:val="20"/>
          <w:szCs w:val="20"/>
          <w:lang w:val="en-US"/>
        </w:rPr>
        <w:t>Towards a complete structural deciphering of type VI secretion system.</w:t>
      </w:r>
      <w:r w:rsidRPr="005F5D7D">
        <w:rPr>
          <w:rFonts w:cstheme="minorHAnsi"/>
          <w:i/>
          <w:iCs/>
          <w:sz w:val="20"/>
          <w:szCs w:val="20"/>
          <w:lang w:val="en-US"/>
        </w:rPr>
        <w:t xml:space="preserve"> Current Opinion in Structural biology.</w:t>
      </w:r>
      <w:r w:rsidRPr="005F5D7D">
        <w:rPr>
          <w:rFonts w:cstheme="minorHAnsi"/>
          <w:sz w:val="20"/>
          <w:szCs w:val="20"/>
          <w:lang w:val="en-US"/>
        </w:rPr>
        <w:t xml:space="preserve"> 49</w:t>
      </w:r>
      <w:r w:rsidR="002D7EE7" w:rsidRPr="005F5D7D">
        <w:rPr>
          <w:rFonts w:cstheme="minorHAnsi"/>
          <w:sz w:val="20"/>
          <w:szCs w:val="20"/>
          <w:lang w:val="en-US"/>
        </w:rPr>
        <w:t>, 77</w:t>
      </w:r>
      <w:r w:rsidRPr="005F5D7D">
        <w:rPr>
          <w:rFonts w:cstheme="minorHAnsi"/>
          <w:sz w:val="20"/>
          <w:szCs w:val="20"/>
          <w:lang w:val="en-US"/>
        </w:rPr>
        <w:t>-84.</w:t>
      </w:r>
    </w:p>
    <w:p w:rsidR="0021063D" w:rsidRPr="005F5D7D" w:rsidRDefault="0021063D" w:rsidP="007026C9">
      <w:pPr>
        <w:pStyle w:val="Paragraphedeliste"/>
        <w:numPr>
          <w:ilvl w:val="0"/>
          <w:numId w:val="9"/>
        </w:numPr>
        <w:jc w:val="both"/>
        <w:rPr>
          <w:rFonts w:cstheme="minorHAnsi"/>
          <w:b/>
          <w:bCs/>
          <w:sz w:val="20"/>
          <w:szCs w:val="20"/>
          <w:lang w:val="en-US"/>
        </w:rPr>
      </w:pPr>
      <w:r w:rsidRPr="005F5D7D">
        <w:rPr>
          <w:rFonts w:cstheme="minorHAnsi"/>
          <w:sz w:val="20"/>
          <w:szCs w:val="20"/>
          <w:lang w:val="en-US"/>
        </w:rPr>
        <w:t xml:space="preserve">Nyirenda T.S, Mandala W.L, Gordon M.A and Mastroeni P. (2017). Immunological bases of increased susceptibility to invasive nontyphoidal </w:t>
      </w:r>
      <w:r w:rsidRPr="005F5D7D">
        <w:rPr>
          <w:rFonts w:cstheme="minorHAnsi"/>
          <w:i/>
          <w:iCs/>
          <w:sz w:val="20"/>
          <w:szCs w:val="20"/>
          <w:lang w:val="en-US"/>
        </w:rPr>
        <w:t>Salmonella</w:t>
      </w:r>
      <w:r w:rsidRPr="005F5D7D">
        <w:rPr>
          <w:rFonts w:cstheme="minorHAnsi"/>
          <w:sz w:val="20"/>
          <w:szCs w:val="20"/>
          <w:lang w:val="en-US"/>
        </w:rPr>
        <w:t xml:space="preserve"> infection in children with malaria and anaemia. </w:t>
      </w:r>
      <w:r w:rsidRPr="005F5D7D">
        <w:rPr>
          <w:rFonts w:cstheme="minorHAnsi"/>
          <w:i/>
          <w:iCs/>
          <w:sz w:val="20"/>
          <w:szCs w:val="20"/>
          <w:lang w:val="en-US"/>
        </w:rPr>
        <w:t>Microbes and Infection</w:t>
      </w:r>
      <w:r w:rsidRPr="007026C9">
        <w:rPr>
          <w:rFonts w:cstheme="minorHAnsi"/>
          <w:sz w:val="20"/>
          <w:szCs w:val="20"/>
          <w:lang w:val="en-US"/>
        </w:rPr>
        <w:t>.</w:t>
      </w:r>
      <w:r w:rsidR="007026C9" w:rsidRPr="007026C9">
        <w:rPr>
          <w:rFonts w:ascii="Helvetica" w:hAnsi="Helvetica" w:cs="Helvetica"/>
          <w:b/>
          <w:bCs/>
          <w:color w:val="494949"/>
          <w:sz w:val="15"/>
          <w:szCs w:val="15"/>
          <w:bdr w:val="none" w:sz="0" w:space="0" w:color="auto" w:frame="1"/>
          <w:shd w:val="clear" w:color="auto" w:fill="FFFFFF"/>
        </w:rPr>
        <w:t xml:space="preserve"> </w:t>
      </w:r>
      <w:r w:rsidR="007026C9">
        <w:rPr>
          <w:rFonts w:cstheme="minorHAnsi"/>
          <w:sz w:val="20"/>
          <w:szCs w:val="20"/>
        </w:rPr>
        <w:t>doi</w:t>
      </w:r>
      <w:r w:rsidR="007026C9" w:rsidRPr="007026C9">
        <w:rPr>
          <w:rFonts w:cstheme="minorHAnsi"/>
          <w:sz w:val="20"/>
          <w:szCs w:val="20"/>
        </w:rPr>
        <w:t>: </w:t>
      </w:r>
      <w:hyperlink r:id="rId8" w:history="1">
        <w:r w:rsidR="007026C9" w:rsidRPr="007026C9">
          <w:rPr>
            <w:rFonts w:cstheme="minorHAnsi"/>
            <w:sz w:val="20"/>
            <w:szCs w:val="20"/>
          </w:rPr>
          <w:t>10.1016/j.micinf.2017.11.014</w:t>
        </w:r>
      </w:hyperlink>
    </w:p>
    <w:p w:rsidR="0021063D" w:rsidRPr="005F5D7D" w:rsidRDefault="0021063D" w:rsidP="005F5D7D">
      <w:pPr>
        <w:pStyle w:val="Paragraphedeliste"/>
        <w:numPr>
          <w:ilvl w:val="0"/>
          <w:numId w:val="9"/>
        </w:numPr>
        <w:jc w:val="both"/>
        <w:rPr>
          <w:rFonts w:cstheme="minorHAnsi"/>
          <w:b/>
          <w:bCs/>
          <w:sz w:val="20"/>
          <w:szCs w:val="20"/>
        </w:rPr>
      </w:pPr>
      <w:r w:rsidRPr="007026C9">
        <w:rPr>
          <w:rFonts w:cstheme="minorHAnsi"/>
          <w:sz w:val="20"/>
          <w:szCs w:val="20"/>
        </w:rPr>
        <w:t>Organisation  Mondial  de  la  Santé  (OMS),</w:t>
      </w:r>
      <w:r w:rsidRPr="005F5D7D">
        <w:rPr>
          <w:rFonts w:cstheme="minorHAnsi"/>
          <w:sz w:val="20"/>
          <w:szCs w:val="20"/>
        </w:rPr>
        <w:t xml:space="preserve">  (2018)  .Infections  à  </w:t>
      </w:r>
      <w:r w:rsidRPr="005F5D7D">
        <w:rPr>
          <w:rFonts w:cstheme="minorHAnsi"/>
          <w:i/>
          <w:iCs/>
          <w:sz w:val="20"/>
          <w:szCs w:val="20"/>
        </w:rPr>
        <w:t>Salmonella</w:t>
      </w:r>
      <w:r w:rsidRPr="005F5D7D">
        <w:rPr>
          <w:rFonts w:cstheme="minorHAnsi"/>
          <w:sz w:val="20"/>
          <w:szCs w:val="20"/>
        </w:rPr>
        <w:t xml:space="preserve">  (non typhiques).</w:t>
      </w:r>
    </w:p>
    <w:p w:rsidR="0021063D" w:rsidRPr="005F5D7D" w:rsidRDefault="0021063D" w:rsidP="005F5D7D">
      <w:pPr>
        <w:pStyle w:val="Paragraphedeliste"/>
        <w:numPr>
          <w:ilvl w:val="0"/>
          <w:numId w:val="9"/>
        </w:numPr>
        <w:jc w:val="both"/>
        <w:rPr>
          <w:rFonts w:cstheme="minorHAnsi"/>
          <w:b/>
          <w:bCs/>
          <w:sz w:val="20"/>
          <w:szCs w:val="20"/>
          <w:lang w:val="en-US"/>
        </w:rPr>
      </w:pPr>
      <w:r w:rsidRPr="005F5D7D">
        <w:rPr>
          <w:rFonts w:cstheme="minorHAnsi"/>
          <w:sz w:val="20"/>
          <w:szCs w:val="20"/>
          <w:lang w:val="en-US"/>
        </w:rPr>
        <w:t xml:space="preserve">Ost K.S and Round. (2017). A few good commensals: Gut microbes use IFN-γ to fight </w:t>
      </w:r>
      <w:r w:rsidRPr="005F5D7D">
        <w:rPr>
          <w:rFonts w:cstheme="minorHAnsi"/>
          <w:i/>
          <w:iCs/>
          <w:sz w:val="20"/>
          <w:szCs w:val="20"/>
          <w:lang w:val="en-US"/>
        </w:rPr>
        <w:t>Salmonella</w:t>
      </w:r>
      <w:r w:rsidRPr="005F5D7D">
        <w:rPr>
          <w:rFonts w:cstheme="minorHAnsi"/>
          <w:sz w:val="20"/>
          <w:szCs w:val="20"/>
          <w:lang w:val="en-US"/>
        </w:rPr>
        <w:t xml:space="preserve">. </w:t>
      </w:r>
      <w:r w:rsidRPr="005F5D7D">
        <w:rPr>
          <w:rFonts w:cstheme="minorHAnsi"/>
          <w:i/>
          <w:iCs/>
          <w:sz w:val="20"/>
          <w:szCs w:val="20"/>
          <w:lang w:val="en-US"/>
        </w:rPr>
        <w:t>Immunity</w:t>
      </w:r>
      <w:r w:rsidRPr="005F5D7D">
        <w:rPr>
          <w:rFonts w:cstheme="minorHAnsi"/>
          <w:sz w:val="20"/>
          <w:szCs w:val="20"/>
          <w:lang w:val="en-US"/>
        </w:rPr>
        <w:t>. 46, 977-979.</w:t>
      </w:r>
    </w:p>
    <w:p w:rsidR="0021063D" w:rsidRPr="005F5D7D" w:rsidRDefault="00DF7D27" w:rsidP="005F5D7D">
      <w:pPr>
        <w:pStyle w:val="Paragraphedeliste"/>
        <w:numPr>
          <w:ilvl w:val="0"/>
          <w:numId w:val="9"/>
        </w:numPr>
        <w:jc w:val="both"/>
        <w:rPr>
          <w:rFonts w:cstheme="minorHAnsi"/>
          <w:b/>
          <w:bCs/>
          <w:sz w:val="20"/>
          <w:szCs w:val="20"/>
          <w:lang w:val="en-US"/>
        </w:rPr>
      </w:pPr>
      <w:r w:rsidRPr="005F5D7D">
        <w:rPr>
          <w:rFonts w:cstheme="minorHAnsi"/>
          <w:sz w:val="20"/>
          <w:szCs w:val="20"/>
          <w:lang w:val="en-US"/>
        </w:rPr>
        <w:t>Owen K.A</w:t>
      </w:r>
      <w:r w:rsidR="0021063D" w:rsidRPr="005F5D7D">
        <w:rPr>
          <w:rFonts w:cstheme="minorHAnsi"/>
          <w:sz w:val="20"/>
          <w:szCs w:val="20"/>
          <w:lang w:val="en-US"/>
        </w:rPr>
        <w:t xml:space="preserve">, Meyer C.B, Bouton A.H and Casanova J.E. (2014).  Activation of focal adhesion kinase by </w:t>
      </w:r>
      <w:r w:rsidR="0021063D" w:rsidRPr="005F5D7D">
        <w:rPr>
          <w:rFonts w:cstheme="minorHAnsi"/>
          <w:i/>
          <w:iCs/>
          <w:sz w:val="20"/>
          <w:szCs w:val="20"/>
          <w:lang w:val="en-US"/>
        </w:rPr>
        <w:t>Salmonella</w:t>
      </w:r>
      <w:r w:rsidR="0021063D" w:rsidRPr="005F5D7D">
        <w:rPr>
          <w:rFonts w:cstheme="minorHAnsi"/>
          <w:sz w:val="20"/>
          <w:szCs w:val="20"/>
          <w:lang w:val="en-US"/>
        </w:rPr>
        <w:t xml:space="preserve"> suppresses autophagy via an Akt/mTOR signaling pathway and promotes bacterial survival in macrophages. </w:t>
      </w:r>
      <w:r w:rsidR="0021063D" w:rsidRPr="005F5D7D">
        <w:rPr>
          <w:rFonts w:cstheme="minorHAnsi"/>
          <w:i/>
          <w:iCs/>
          <w:sz w:val="20"/>
          <w:szCs w:val="20"/>
          <w:lang w:val="en-US"/>
        </w:rPr>
        <w:t>Public library of Science Pathogenesis</w:t>
      </w:r>
      <w:r w:rsidR="0021063D" w:rsidRPr="005F5D7D">
        <w:rPr>
          <w:rFonts w:cstheme="minorHAnsi"/>
          <w:sz w:val="20"/>
          <w:szCs w:val="20"/>
          <w:lang w:val="en-US"/>
        </w:rPr>
        <w:t>. 10, 1-16.</w:t>
      </w:r>
    </w:p>
    <w:p w:rsidR="0021063D" w:rsidRPr="005F5D7D" w:rsidRDefault="00DF7D27" w:rsidP="005F5D7D">
      <w:pPr>
        <w:pStyle w:val="Paragraphedeliste"/>
        <w:numPr>
          <w:ilvl w:val="0"/>
          <w:numId w:val="9"/>
        </w:numPr>
        <w:jc w:val="both"/>
        <w:rPr>
          <w:rFonts w:cstheme="minorHAnsi"/>
          <w:b/>
          <w:bCs/>
          <w:sz w:val="20"/>
          <w:szCs w:val="20"/>
          <w:lang w:val="en-US"/>
        </w:rPr>
      </w:pPr>
      <w:r w:rsidRPr="005F5D7D">
        <w:rPr>
          <w:rFonts w:cstheme="minorHAnsi"/>
          <w:sz w:val="20"/>
          <w:szCs w:val="20"/>
          <w:lang w:val="en-US"/>
        </w:rPr>
        <w:t xml:space="preserve">Pabst </w:t>
      </w:r>
      <w:r w:rsidR="0021063D" w:rsidRPr="005F5D7D">
        <w:rPr>
          <w:rFonts w:cstheme="minorHAnsi"/>
          <w:sz w:val="20"/>
          <w:szCs w:val="20"/>
          <w:lang w:val="en-US"/>
        </w:rPr>
        <w:t xml:space="preserve">O. (2012). New concepts in the generation and functions </w:t>
      </w:r>
      <w:r w:rsidRPr="005F5D7D">
        <w:rPr>
          <w:rFonts w:cstheme="minorHAnsi"/>
          <w:sz w:val="20"/>
          <w:szCs w:val="20"/>
          <w:lang w:val="en-US"/>
        </w:rPr>
        <w:t>of IgA</w:t>
      </w:r>
      <w:r w:rsidR="0021063D" w:rsidRPr="005F5D7D">
        <w:rPr>
          <w:rFonts w:cstheme="minorHAnsi"/>
          <w:sz w:val="20"/>
          <w:szCs w:val="20"/>
          <w:lang w:val="en-US"/>
        </w:rPr>
        <w:t xml:space="preserve">. </w:t>
      </w:r>
      <w:r w:rsidR="0021063D" w:rsidRPr="005F5D7D">
        <w:rPr>
          <w:rFonts w:cstheme="minorHAnsi"/>
          <w:i/>
          <w:iCs/>
          <w:sz w:val="20"/>
          <w:szCs w:val="20"/>
          <w:lang w:val="en-US"/>
        </w:rPr>
        <w:t>Nature Reviews Immunology</w:t>
      </w:r>
      <w:r w:rsidR="0021063D" w:rsidRPr="005F5D7D">
        <w:rPr>
          <w:rFonts w:cstheme="minorHAnsi"/>
          <w:sz w:val="20"/>
          <w:szCs w:val="20"/>
          <w:lang w:val="en-US"/>
        </w:rPr>
        <w:t>.</w:t>
      </w:r>
      <w:r w:rsidR="002D7EE7" w:rsidRPr="005F5D7D">
        <w:rPr>
          <w:rFonts w:cstheme="minorHAnsi"/>
          <w:sz w:val="20"/>
          <w:szCs w:val="20"/>
          <w:lang w:val="en-US"/>
        </w:rPr>
        <w:t xml:space="preserve"> </w:t>
      </w:r>
      <w:r w:rsidR="0021063D" w:rsidRPr="005F5D7D">
        <w:rPr>
          <w:rFonts w:cstheme="minorHAnsi"/>
          <w:sz w:val="20"/>
          <w:szCs w:val="20"/>
          <w:lang w:val="en-US"/>
        </w:rPr>
        <w:t>12, 821–832.</w:t>
      </w:r>
    </w:p>
    <w:p w:rsidR="0021063D" w:rsidRPr="005F5D7D" w:rsidRDefault="0021063D" w:rsidP="005F5D7D">
      <w:pPr>
        <w:pStyle w:val="Paragraphedeliste"/>
        <w:numPr>
          <w:ilvl w:val="0"/>
          <w:numId w:val="9"/>
        </w:numPr>
        <w:jc w:val="both"/>
        <w:rPr>
          <w:rFonts w:cstheme="minorHAnsi"/>
          <w:b/>
          <w:bCs/>
          <w:sz w:val="20"/>
          <w:szCs w:val="20"/>
          <w:lang w:val="en-US"/>
        </w:rPr>
      </w:pPr>
      <w:r w:rsidRPr="005F5D7D">
        <w:rPr>
          <w:rFonts w:cstheme="minorHAnsi"/>
          <w:sz w:val="20"/>
          <w:szCs w:val="20"/>
          <w:lang w:val="en-US"/>
        </w:rPr>
        <w:t xml:space="preserve">Pezoa D, Blondel C, Silva C.A, Yang H.G, Andrews-Polymenis H, Santiviago C.A and Contreras I. Only one of the two type VI secretion systems encoded in the </w:t>
      </w:r>
      <w:r w:rsidRPr="005F5D7D">
        <w:rPr>
          <w:rFonts w:cstheme="minorHAnsi"/>
          <w:i/>
          <w:iCs/>
          <w:sz w:val="20"/>
          <w:szCs w:val="20"/>
          <w:lang w:val="en-US"/>
        </w:rPr>
        <w:t>Salmonella enterica</w:t>
      </w:r>
      <w:r w:rsidRPr="005F5D7D">
        <w:rPr>
          <w:rFonts w:cstheme="minorHAnsi"/>
          <w:sz w:val="20"/>
          <w:szCs w:val="20"/>
          <w:lang w:val="en-US"/>
        </w:rPr>
        <w:t xml:space="preserve"> serotype </w:t>
      </w:r>
      <w:r w:rsidRPr="005F5D7D">
        <w:rPr>
          <w:rFonts w:cstheme="minorHAnsi"/>
          <w:i/>
          <w:iCs/>
          <w:sz w:val="20"/>
          <w:szCs w:val="20"/>
          <w:lang w:val="en-US"/>
        </w:rPr>
        <w:t xml:space="preserve">dublin </w:t>
      </w:r>
      <w:r w:rsidRPr="005F5D7D">
        <w:rPr>
          <w:rFonts w:cstheme="minorHAnsi"/>
          <w:sz w:val="20"/>
          <w:szCs w:val="20"/>
          <w:lang w:val="en-US"/>
        </w:rPr>
        <w:t>genome is involved in colonization of the avian and murine hosts. Veterinary Research. 45, 1-9</w:t>
      </w:r>
    </w:p>
    <w:p w:rsidR="0021063D" w:rsidRPr="005F5D7D" w:rsidRDefault="0021063D" w:rsidP="005F5D7D">
      <w:pPr>
        <w:pStyle w:val="Paragraphedeliste"/>
        <w:numPr>
          <w:ilvl w:val="0"/>
          <w:numId w:val="9"/>
        </w:numPr>
        <w:jc w:val="both"/>
        <w:rPr>
          <w:rFonts w:cstheme="minorHAnsi"/>
          <w:b/>
          <w:bCs/>
          <w:sz w:val="20"/>
          <w:szCs w:val="20"/>
          <w:lang w:val="en-US"/>
        </w:rPr>
      </w:pPr>
      <w:r w:rsidRPr="005F5D7D">
        <w:rPr>
          <w:rFonts w:cstheme="minorHAnsi"/>
          <w:sz w:val="20"/>
          <w:szCs w:val="20"/>
          <w:lang w:val="en-US"/>
        </w:rPr>
        <w:t xml:space="preserve">Pham O and McSorley S. (2015). Protective host immune responses to </w:t>
      </w:r>
      <w:r w:rsidRPr="005F5D7D">
        <w:rPr>
          <w:rFonts w:cstheme="minorHAnsi"/>
          <w:i/>
          <w:iCs/>
          <w:sz w:val="20"/>
          <w:szCs w:val="20"/>
          <w:lang w:val="en-US"/>
        </w:rPr>
        <w:lastRenderedPageBreak/>
        <w:t>salmonella</w:t>
      </w:r>
      <w:r w:rsidRPr="005F5D7D">
        <w:rPr>
          <w:rFonts w:cstheme="minorHAnsi"/>
          <w:sz w:val="20"/>
          <w:szCs w:val="20"/>
          <w:lang w:val="en-US"/>
        </w:rPr>
        <w:t xml:space="preserve"> infection. </w:t>
      </w:r>
      <w:r w:rsidR="00DF7D27" w:rsidRPr="005F5D7D">
        <w:rPr>
          <w:rFonts w:cstheme="minorHAnsi"/>
          <w:i/>
          <w:iCs/>
          <w:sz w:val="20"/>
          <w:szCs w:val="20"/>
          <w:lang w:val="en-US"/>
        </w:rPr>
        <w:t>Future M</w:t>
      </w:r>
      <w:r w:rsidRPr="005F5D7D">
        <w:rPr>
          <w:rFonts w:cstheme="minorHAnsi"/>
          <w:i/>
          <w:iCs/>
          <w:sz w:val="20"/>
          <w:szCs w:val="20"/>
          <w:lang w:val="en-US"/>
        </w:rPr>
        <w:t>icrobiology</w:t>
      </w:r>
      <w:r w:rsidR="00DF7D27" w:rsidRPr="005F5D7D">
        <w:rPr>
          <w:rFonts w:cstheme="minorHAnsi"/>
          <w:sz w:val="20"/>
          <w:szCs w:val="20"/>
          <w:lang w:val="en-US"/>
        </w:rPr>
        <w:t>.</w:t>
      </w:r>
      <w:r w:rsidRPr="005F5D7D">
        <w:rPr>
          <w:rFonts w:cstheme="minorHAnsi"/>
          <w:sz w:val="20"/>
          <w:szCs w:val="20"/>
          <w:lang w:val="en-US"/>
        </w:rPr>
        <w:t xml:space="preserve"> 10, 101-110.</w:t>
      </w:r>
    </w:p>
    <w:p w:rsidR="0021063D" w:rsidRPr="005F5D7D" w:rsidRDefault="0021063D" w:rsidP="005F5D7D">
      <w:pPr>
        <w:pStyle w:val="Paragraphedeliste"/>
        <w:numPr>
          <w:ilvl w:val="0"/>
          <w:numId w:val="9"/>
        </w:numPr>
        <w:jc w:val="both"/>
        <w:rPr>
          <w:rFonts w:cstheme="minorHAnsi"/>
          <w:b/>
          <w:bCs/>
          <w:sz w:val="20"/>
          <w:szCs w:val="20"/>
          <w:lang w:val="en-US"/>
        </w:rPr>
      </w:pPr>
      <w:r w:rsidRPr="005F5D7D">
        <w:rPr>
          <w:rFonts w:cstheme="minorHAnsi"/>
          <w:sz w:val="20"/>
          <w:szCs w:val="20"/>
          <w:lang w:val="en-US"/>
        </w:rPr>
        <w:t xml:space="preserve">Pilonieta M.C, Moreland S.M, English C.N and Detweiler C.S. (2014). </w:t>
      </w:r>
      <w:r w:rsidRPr="005F5D7D">
        <w:rPr>
          <w:rFonts w:cstheme="minorHAnsi"/>
          <w:i/>
          <w:iCs/>
          <w:sz w:val="20"/>
          <w:szCs w:val="20"/>
          <w:lang w:val="en-US"/>
        </w:rPr>
        <w:t>Salmonella enterica</w:t>
      </w:r>
      <w:r w:rsidRPr="005F5D7D">
        <w:rPr>
          <w:rFonts w:cstheme="minorHAnsi"/>
          <w:sz w:val="20"/>
          <w:szCs w:val="20"/>
          <w:lang w:val="en-US"/>
        </w:rPr>
        <w:t xml:space="preserve"> infection Stimulates Macrophages to Hemophagocytose. </w:t>
      </w:r>
      <w:r w:rsidRPr="005F5D7D">
        <w:rPr>
          <w:rFonts w:cstheme="minorHAnsi"/>
          <w:i/>
          <w:iCs/>
          <w:sz w:val="20"/>
          <w:szCs w:val="20"/>
          <w:lang w:val="en-US"/>
        </w:rPr>
        <w:t>Microbiology</w:t>
      </w:r>
      <w:r w:rsidRPr="005F5D7D">
        <w:rPr>
          <w:rFonts w:cstheme="minorHAnsi"/>
          <w:sz w:val="20"/>
          <w:szCs w:val="20"/>
          <w:lang w:val="en-US"/>
        </w:rPr>
        <w:t>. 5, 02211-02214</w:t>
      </w:r>
    </w:p>
    <w:p w:rsidR="0021063D" w:rsidRPr="005F5D7D" w:rsidRDefault="0021063D" w:rsidP="005F5D7D">
      <w:pPr>
        <w:pStyle w:val="Paragraphedeliste"/>
        <w:numPr>
          <w:ilvl w:val="0"/>
          <w:numId w:val="9"/>
        </w:numPr>
        <w:jc w:val="both"/>
        <w:rPr>
          <w:rFonts w:cstheme="minorHAnsi"/>
          <w:b/>
          <w:bCs/>
          <w:sz w:val="20"/>
          <w:szCs w:val="20"/>
          <w:lang w:val="en-US"/>
        </w:rPr>
      </w:pPr>
      <w:r w:rsidRPr="005F5D7D">
        <w:rPr>
          <w:rFonts w:cstheme="minorHAnsi"/>
          <w:sz w:val="20"/>
          <w:szCs w:val="20"/>
          <w:lang w:val="en-US"/>
        </w:rPr>
        <w:t xml:space="preserve">Plevin R.E, Knoll M, McKay M, Arbabi S and Cuschieri J, (2016). The Role of lipopolysaccharide structure in monocyte activation and cytokine secretion. </w:t>
      </w:r>
      <w:r w:rsidRPr="005F5D7D">
        <w:rPr>
          <w:rFonts w:cstheme="minorHAnsi"/>
          <w:i/>
          <w:iCs/>
          <w:sz w:val="20"/>
          <w:szCs w:val="20"/>
          <w:lang w:val="en-US"/>
        </w:rPr>
        <w:t>Shock</w:t>
      </w:r>
      <w:r w:rsidRPr="005F5D7D">
        <w:rPr>
          <w:rFonts w:cstheme="minorHAnsi"/>
          <w:sz w:val="20"/>
          <w:szCs w:val="20"/>
          <w:lang w:val="en-US"/>
        </w:rPr>
        <w:t>. 45, 22-27.</w:t>
      </w:r>
    </w:p>
    <w:p w:rsidR="0021063D" w:rsidRPr="005F5D7D" w:rsidRDefault="0021063D" w:rsidP="005F5D7D">
      <w:pPr>
        <w:pStyle w:val="Paragraphedeliste"/>
        <w:numPr>
          <w:ilvl w:val="0"/>
          <w:numId w:val="9"/>
        </w:numPr>
        <w:jc w:val="both"/>
        <w:rPr>
          <w:rFonts w:cstheme="minorHAnsi"/>
          <w:b/>
          <w:bCs/>
          <w:sz w:val="20"/>
          <w:szCs w:val="20"/>
          <w:lang w:val="en-US"/>
        </w:rPr>
      </w:pPr>
      <w:r w:rsidRPr="005F5D7D">
        <w:rPr>
          <w:rFonts w:cstheme="minorHAnsi"/>
          <w:sz w:val="20"/>
          <w:szCs w:val="20"/>
          <w:lang w:val="en-US"/>
        </w:rPr>
        <w:t xml:space="preserve">Pucciarelli M.G and Del Portillo F.G., (2017). </w:t>
      </w:r>
      <w:r w:rsidRPr="005F5D7D">
        <w:rPr>
          <w:rFonts w:cstheme="minorHAnsi"/>
          <w:i/>
          <w:iCs/>
          <w:sz w:val="20"/>
          <w:szCs w:val="20"/>
          <w:lang w:val="en-US"/>
        </w:rPr>
        <w:t xml:space="preserve">Salmonella </w:t>
      </w:r>
      <w:r w:rsidRPr="005F5D7D">
        <w:rPr>
          <w:rFonts w:cstheme="minorHAnsi"/>
          <w:sz w:val="20"/>
          <w:szCs w:val="20"/>
          <w:lang w:val="en-US"/>
        </w:rPr>
        <w:t>intracellular lifestyle on their impact on host-to-host transmission.</w:t>
      </w:r>
      <w:r w:rsidRPr="005F5D7D">
        <w:rPr>
          <w:rFonts w:cstheme="minorHAnsi"/>
          <w:i/>
          <w:iCs/>
          <w:sz w:val="20"/>
          <w:szCs w:val="20"/>
          <w:lang w:val="en-US"/>
        </w:rPr>
        <w:t xml:space="preserve"> Microbiolo</w:t>
      </w:r>
      <w:r w:rsidR="002D7EE7" w:rsidRPr="005F5D7D">
        <w:rPr>
          <w:rFonts w:cstheme="minorHAnsi"/>
          <w:i/>
          <w:iCs/>
          <w:sz w:val="20"/>
          <w:szCs w:val="20"/>
          <w:lang w:val="en-US"/>
        </w:rPr>
        <w:t>gy S</w:t>
      </w:r>
      <w:r w:rsidRPr="005F5D7D">
        <w:rPr>
          <w:rFonts w:cstheme="minorHAnsi"/>
          <w:i/>
          <w:iCs/>
          <w:sz w:val="20"/>
          <w:szCs w:val="20"/>
          <w:lang w:val="en-US"/>
        </w:rPr>
        <w:t xml:space="preserve">pectrum. </w:t>
      </w:r>
      <w:r w:rsidRPr="005F5D7D">
        <w:rPr>
          <w:rFonts w:cstheme="minorHAnsi"/>
          <w:sz w:val="20"/>
          <w:szCs w:val="20"/>
          <w:lang w:val="en-US"/>
        </w:rPr>
        <w:t>5, 1-18.</w:t>
      </w:r>
    </w:p>
    <w:p w:rsidR="0021063D" w:rsidRPr="005F5D7D" w:rsidRDefault="0021063D" w:rsidP="005F5D7D">
      <w:pPr>
        <w:pStyle w:val="Paragraphedeliste"/>
        <w:numPr>
          <w:ilvl w:val="0"/>
          <w:numId w:val="9"/>
        </w:numPr>
        <w:jc w:val="both"/>
        <w:rPr>
          <w:rFonts w:cstheme="minorHAnsi"/>
          <w:b/>
          <w:bCs/>
          <w:sz w:val="20"/>
          <w:szCs w:val="20"/>
          <w:lang w:val="en-US"/>
        </w:rPr>
      </w:pPr>
      <w:r w:rsidRPr="005F5D7D">
        <w:rPr>
          <w:rFonts w:cstheme="minorHAnsi"/>
          <w:sz w:val="20"/>
          <w:szCs w:val="20"/>
          <w:lang w:val="en-US"/>
        </w:rPr>
        <w:t xml:space="preserve">Qian M, Fang X and Wang X. (2017). Autophagy and inflammation. </w:t>
      </w:r>
      <w:r w:rsidRPr="005F5D7D">
        <w:rPr>
          <w:rFonts w:cstheme="minorHAnsi"/>
          <w:i/>
          <w:iCs/>
          <w:sz w:val="20"/>
          <w:szCs w:val="20"/>
          <w:lang w:val="en-US"/>
        </w:rPr>
        <w:t>Clinical and Transnational Medicine</w:t>
      </w:r>
      <w:r w:rsidRPr="005F5D7D">
        <w:rPr>
          <w:rFonts w:cstheme="minorHAnsi"/>
          <w:sz w:val="20"/>
          <w:szCs w:val="20"/>
          <w:lang w:val="en-US"/>
        </w:rPr>
        <w:t>. 6, 1-11</w:t>
      </w:r>
    </w:p>
    <w:p w:rsidR="0021063D" w:rsidRPr="005F5D7D" w:rsidRDefault="0021063D" w:rsidP="005F5D7D">
      <w:pPr>
        <w:pStyle w:val="Paragraphedeliste"/>
        <w:numPr>
          <w:ilvl w:val="0"/>
          <w:numId w:val="9"/>
        </w:numPr>
        <w:jc w:val="both"/>
        <w:rPr>
          <w:rFonts w:cstheme="minorHAnsi"/>
          <w:b/>
          <w:bCs/>
          <w:sz w:val="20"/>
          <w:szCs w:val="20"/>
          <w:lang w:val="en-US"/>
        </w:rPr>
      </w:pPr>
      <w:r w:rsidRPr="005F5D7D">
        <w:rPr>
          <w:rFonts w:cstheme="minorHAnsi"/>
          <w:sz w:val="20"/>
          <w:szCs w:val="20"/>
          <w:lang w:val="en-US"/>
        </w:rPr>
        <w:t xml:space="preserve">Ramasamy K.T, Verma P and Reddy M.R. (2014). Toll-like receptors gene expression in the gastrointestinal tract of </w:t>
      </w:r>
      <w:r w:rsidRPr="005F5D7D">
        <w:rPr>
          <w:rFonts w:cstheme="minorHAnsi"/>
          <w:i/>
          <w:iCs/>
          <w:sz w:val="20"/>
          <w:szCs w:val="20"/>
          <w:lang w:val="en-US"/>
        </w:rPr>
        <w:t>Salmonella</w:t>
      </w:r>
      <w:r w:rsidRPr="005F5D7D">
        <w:rPr>
          <w:rFonts w:cstheme="minorHAnsi"/>
          <w:sz w:val="20"/>
          <w:szCs w:val="20"/>
          <w:lang w:val="en-US"/>
        </w:rPr>
        <w:t xml:space="preserve"> serovar </w:t>
      </w:r>
      <w:r w:rsidRPr="005F5D7D">
        <w:rPr>
          <w:rFonts w:cstheme="minorHAnsi"/>
          <w:i/>
          <w:iCs/>
          <w:sz w:val="20"/>
          <w:szCs w:val="20"/>
          <w:lang w:val="en-US"/>
        </w:rPr>
        <w:t>Pullorum</w:t>
      </w:r>
      <w:r w:rsidRPr="005F5D7D">
        <w:rPr>
          <w:rFonts w:cstheme="minorHAnsi"/>
          <w:sz w:val="20"/>
          <w:szCs w:val="20"/>
          <w:lang w:val="en-US"/>
        </w:rPr>
        <w:t xml:space="preserve"> infected broiler chicken. </w:t>
      </w:r>
      <w:r w:rsidRPr="005F5D7D">
        <w:rPr>
          <w:rFonts w:cstheme="minorHAnsi"/>
          <w:i/>
          <w:iCs/>
          <w:sz w:val="20"/>
          <w:szCs w:val="20"/>
          <w:lang w:val="en-US"/>
        </w:rPr>
        <w:t>Applied Biochemistry and Biotechnology</w:t>
      </w:r>
      <w:r w:rsidRPr="005F5D7D">
        <w:rPr>
          <w:rFonts w:cstheme="minorHAnsi"/>
          <w:sz w:val="20"/>
          <w:szCs w:val="20"/>
          <w:lang w:val="en-US"/>
        </w:rPr>
        <w:t>. 173, 356-364</w:t>
      </w:r>
    </w:p>
    <w:p w:rsidR="0021063D" w:rsidRPr="005F5D7D" w:rsidRDefault="0021063D" w:rsidP="005F5D7D">
      <w:pPr>
        <w:pStyle w:val="Paragraphedeliste"/>
        <w:numPr>
          <w:ilvl w:val="0"/>
          <w:numId w:val="9"/>
        </w:numPr>
        <w:jc w:val="both"/>
        <w:rPr>
          <w:rFonts w:cstheme="minorHAnsi"/>
          <w:b/>
          <w:bCs/>
          <w:sz w:val="20"/>
          <w:szCs w:val="20"/>
          <w:lang w:val="en-US"/>
        </w:rPr>
      </w:pPr>
      <w:r w:rsidRPr="005F5D7D">
        <w:rPr>
          <w:rFonts w:cstheme="minorHAnsi"/>
          <w:sz w:val="20"/>
          <w:szCs w:val="20"/>
          <w:lang w:val="en-US"/>
        </w:rPr>
        <w:t xml:space="preserve">Ramos-Morales, F. (2012). Impact of </w:t>
      </w:r>
      <w:r w:rsidRPr="005F5D7D">
        <w:rPr>
          <w:rFonts w:cstheme="minorHAnsi"/>
          <w:i/>
          <w:iCs/>
          <w:sz w:val="20"/>
          <w:szCs w:val="20"/>
          <w:lang w:val="en-US"/>
        </w:rPr>
        <w:t>Salmonella enterica</w:t>
      </w:r>
      <w:r w:rsidRPr="005F5D7D">
        <w:rPr>
          <w:rFonts w:cstheme="minorHAnsi"/>
          <w:sz w:val="20"/>
          <w:szCs w:val="20"/>
          <w:lang w:val="en-US"/>
        </w:rPr>
        <w:t xml:space="preserve"> type III secretion system effectors on the eukaryotic host cell. </w:t>
      </w:r>
      <w:r w:rsidRPr="005F5D7D">
        <w:rPr>
          <w:rFonts w:cstheme="minorHAnsi"/>
          <w:i/>
          <w:iCs/>
          <w:sz w:val="20"/>
          <w:szCs w:val="20"/>
          <w:lang w:val="en-US"/>
        </w:rPr>
        <w:t>Cell Biology</w:t>
      </w:r>
      <w:r w:rsidRPr="005F5D7D">
        <w:rPr>
          <w:rFonts w:cstheme="minorHAnsi"/>
          <w:sz w:val="20"/>
          <w:szCs w:val="20"/>
          <w:lang w:val="en-US"/>
        </w:rPr>
        <w:t>. 2012, 1-36.</w:t>
      </w:r>
    </w:p>
    <w:p w:rsidR="0021063D" w:rsidRPr="005F5D7D" w:rsidRDefault="0021063D" w:rsidP="005F5D7D">
      <w:pPr>
        <w:pStyle w:val="Paragraphedeliste"/>
        <w:numPr>
          <w:ilvl w:val="0"/>
          <w:numId w:val="9"/>
        </w:numPr>
        <w:jc w:val="both"/>
        <w:rPr>
          <w:rFonts w:cstheme="minorHAnsi"/>
          <w:b/>
          <w:bCs/>
          <w:sz w:val="20"/>
          <w:szCs w:val="20"/>
          <w:lang w:val="en-US"/>
        </w:rPr>
      </w:pPr>
      <w:r w:rsidRPr="005F5D7D">
        <w:rPr>
          <w:rFonts w:cstheme="minorHAnsi"/>
          <w:sz w:val="20"/>
          <w:szCs w:val="20"/>
          <w:lang w:val="en-US"/>
        </w:rPr>
        <w:t xml:space="preserve">Riva R, Korhonen T.K, and Meri S. (2015). The outer membrane protease PgtE of </w:t>
      </w:r>
      <w:r w:rsidRPr="005F5D7D">
        <w:rPr>
          <w:rFonts w:cstheme="minorHAnsi"/>
          <w:i/>
          <w:iCs/>
          <w:sz w:val="20"/>
          <w:szCs w:val="20"/>
          <w:lang w:val="en-US"/>
        </w:rPr>
        <w:t>Salmonella enterica</w:t>
      </w:r>
      <w:r w:rsidRPr="005F5D7D">
        <w:rPr>
          <w:rFonts w:cstheme="minorHAnsi"/>
          <w:sz w:val="20"/>
          <w:szCs w:val="20"/>
          <w:lang w:val="en-US"/>
        </w:rPr>
        <w:t xml:space="preserve"> interferes with the alternative complement pathway by cleaving B and H. </w:t>
      </w:r>
      <w:r w:rsidRPr="005F5D7D">
        <w:rPr>
          <w:rFonts w:cstheme="minorHAnsi"/>
          <w:i/>
          <w:iCs/>
          <w:sz w:val="20"/>
          <w:szCs w:val="20"/>
          <w:lang w:val="en-US"/>
        </w:rPr>
        <w:t>Frontiers in biology</w:t>
      </w:r>
      <w:r w:rsidRPr="005F5D7D">
        <w:rPr>
          <w:rFonts w:cstheme="minorHAnsi"/>
          <w:sz w:val="20"/>
          <w:szCs w:val="20"/>
          <w:lang w:val="en-US"/>
        </w:rPr>
        <w:t>.</w:t>
      </w:r>
      <w:r w:rsidR="002D7EE7" w:rsidRPr="005F5D7D">
        <w:rPr>
          <w:rFonts w:cstheme="minorHAnsi"/>
          <w:sz w:val="20"/>
          <w:szCs w:val="20"/>
          <w:lang w:val="en-US"/>
        </w:rPr>
        <w:t xml:space="preserve"> </w:t>
      </w:r>
      <w:r w:rsidRPr="005F5D7D">
        <w:rPr>
          <w:rFonts w:cstheme="minorHAnsi"/>
          <w:sz w:val="20"/>
          <w:szCs w:val="20"/>
          <w:lang w:val="en-US"/>
        </w:rPr>
        <w:t>6, 1-9.</w:t>
      </w:r>
    </w:p>
    <w:p w:rsidR="0021063D" w:rsidRPr="005F5D7D" w:rsidRDefault="0021063D" w:rsidP="005F5D7D">
      <w:pPr>
        <w:pStyle w:val="Paragraphedeliste"/>
        <w:numPr>
          <w:ilvl w:val="0"/>
          <w:numId w:val="9"/>
        </w:numPr>
        <w:jc w:val="both"/>
        <w:rPr>
          <w:rFonts w:cstheme="minorHAnsi"/>
          <w:b/>
          <w:bCs/>
          <w:sz w:val="20"/>
          <w:szCs w:val="20"/>
          <w:lang w:val="en-US"/>
        </w:rPr>
      </w:pPr>
      <w:r w:rsidRPr="005F5D7D">
        <w:rPr>
          <w:rFonts w:cstheme="minorHAnsi"/>
          <w:sz w:val="20"/>
          <w:szCs w:val="20"/>
          <w:lang w:val="en-US"/>
        </w:rPr>
        <w:t xml:space="preserve">Robinson N, McComb S, Mulligan R, Dudani R, Krishnan L and Sad S. (2012). Type I interferon induces necroptosis in macrophages during infection with </w:t>
      </w:r>
      <w:r w:rsidRPr="005F5D7D">
        <w:rPr>
          <w:rFonts w:cstheme="minorHAnsi"/>
          <w:i/>
          <w:iCs/>
          <w:sz w:val="20"/>
          <w:szCs w:val="20"/>
          <w:lang w:val="en-US"/>
        </w:rPr>
        <w:t>Salmonella enterica</w:t>
      </w:r>
      <w:r w:rsidRPr="005F5D7D">
        <w:rPr>
          <w:rFonts w:cstheme="minorHAnsi"/>
          <w:sz w:val="20"/>
          <w:szCs w:val="20"/>
          <w:lang w:val="en-US"/>
        </w:rPr>
        <w:t xml:space="preserve"> serovar </w:t>
      </w:r>
      <w:r w:rsidRPr="005F5D7D">
        <w:rPr>
          <w:rFonts w:cstheme="minorHAnsi"/>
          <w:i/>
          <w:iCs/>
          <w:sz w:val="20"/>
          <w:szCs w:val="20"/>
          <w:lang w:val="en-US"/>
        </w:rPr>
        <w:t>typhimurium</w:t>
      </w:r>
      <w:r w:rsidRPr="005F5D7D">
        <w:rPr>
          <w:rFonts w:cstheme="minorHAnsi"/>
          <w:sz w:val="20"/>
          <w:szCs w:val="20"/>
          <w:lang w:val="en-US"/>
        </w:rPr>
        <w:t xml:space="preserve">. </w:t>
      </w:r>
      <w:r w:rsidRPr="005F5D7D">
        <w:rPr>
          <w:rFonts w:cstheme="minorHAnsi"/>
          <w:i/>
          <w:iCs/>
          <w:sz w:val="20"/>
          <w:szCs w:val="20"/>
          <w:lang w:val="en-US"/>
        </w:rPr>
        <w:t>Nature Immunology</w:t>
      </w:r>
      <w:r w:rsidRPr="005F5D7D">
        <w:rPr>
          <w:rFonts w:cstheme="minorHAnsi"/>
          <w:sz w:val="20"/>
          <w:szCs w:val="20"/>
          <w:lang w:val="en-US"/>
        </w:rPr>
        <w:t>. 13, 952-962.</w:t>
      </w:r>
    </w:p>
    <w:p w:rsidR="0021063D" w:rsidRPr="005F5D7D" w:rsidRDefault="0021063D" w:rsidP="005F5D7D">
      <w:pPr>
        <w:pStyle w:val="Paragraphedeliste"/>
        <w:numPr>
          <w:ilvl w:val="0"/>
          <w:numId w:val="9"/>
        </w:numPr>
        <w:jc w:val="both"/>
        <w:rPr>
          <w:rFonts w:cstheme="minorHAnsi"/>
          <w:b/>
          <w:bCs/>
          <w:sz w:val="20"/>
          <w:szCs w:val="20"/>
          <w:lang w:val="en-US"/>
        </w:rPr>
      </w:pPr>
      <w:r w:rsidRPr="005F5D7D">
        <w:rPr>
          <w:rFonts w:cstheme="minorHAnsi"/>
          <w:sz w:val="20"/>
          <w:szCs w:val="20"/>
          <w:lang w:val="en-US"/>
        </w:rPr>
        <w:t xml:space="preserve">Sana T.G., Flaugnatti N, Lugo N.K, Lam L.H, Jacobson A, Baylot V, Durand E, Journet L, Cascales E and Monack D.M. (2016). </w:t>
      </w:r>
      <w:r w:rsidRPr="005F5D7D">
        <w:rPr>
          <w:rFonts w:cstheme="minorHAnsi"/>
          <w:i/>
          <w:iCs/>
          <w:sz w:val="20"/>
          <w:szCs w:val="20"/>
          <w:lang w:val="en-US"/>
        </w:rPr>
        <w:t>Salmonella typhimurium</w:t>
      </w:r>
      <w:r w:rsidRPr="005F5D7D">
        <w:rPr>
          <w:rFonts w:cstheme="minorHAnsi"/>
          <w:sz w:val="20"/>
          <w:szCs w:val="20"/>
          <w:lang w:val="en-US"/>
        </w:rPr>
        <w:t xml:space="preserve"> utilizes a T6SS-mediated antibacterial weapon to establish in host gut. </w:t>
      </w:r>
      <w:r w:rsidRPr="005F5D7D">
        <w:rPr>
          <w:rFonts w:cstheme="minorHAnsi"/>
          <w:i/>
          <w:iCs/>
          <w:sz w:val="20"/>
          <w:szCs w:val="20"/>
          <w:lang w:val="en-US"/>
        </w:rPr>
        <w:t>National Academy Sciences.</w:t>
      </w:r>
      <w:r w:rsidRPr="005F5D7D">
        <w:rPr>
          <w:rFonts w:cstheme="minorHAnsi"/>
          <w:sz w:val="20"/>
          <w:szCs w:val="20"/>
          <w:lang w:val="en-US"/>
        </w:rPr>
        <w:t xml:space="preserve"> 113, 5044-5051    </w:t>
      </w:r>
    </w:p>
    <w:p w:rsidR="0021063D" w:rsidRPr="005F5D7D" w:rsidRDefault="0021063D" w:rsidP="005F5D7D">
      <w:pPr>
        <w:pStyle w:val="Paragraphedeliste"/>
        <w:numPr>
          <w:ilvl w:val="0"/>
          <w:numId w:val="9"/>
        </w:numPr>
        <w:jc w:val="both"/>
        <w:rPr>
          <w:rFonts w:cstheme="minorHAnsi"/>
          <w:b/>
          <w:bCs/>
          <w:sz w:val="20"/>
          <w:szCs w:val="20"/>
          <w:lang w:val="en-US"/>
        </w:rPr>
      </w:pPr>
      <w:r w:rsidRPr="005F5D7D">
        <w:rPr>
          <w:rFonts w:cstheme="minorHAnsi"/>
          <w:sz w:val="20"/>
          <w:szCs w:val="20"/>
          <w:lang w:val="en-US"/>
        </w:rPr>
        <w:t xml:space="preserve">Seeps A.M, Kinksbury D.D, Wangdi T, Xavier M.N, Tsolis R.M and Bäumler A.J. (2014). Neutrophils are a source of gamma interferon during acute </w:t>
      </w:r>
      <w:r w:rsidRPr="005F5D7D">
        <w:rPr>
          <w:rFonts w:cstheme="minorHAnsi"/>
          <w:i/>
          <w:iCs/>
          <w:sz w:val="20"/>
          <w:szCs w:val="20"/>
          <w:lang w:val="en-US"/>
        </w:rPr>
        <w:t xml:space="preserve">Salmonella </w:t>
      </w:r>
      <w:r w:rsidRPr="005F5D7D">
        <w:rPr>
          <w:rFonts w:cstheme="minorHAnsi"/>
          <w:i/>
          <w:iCs/>
          <w:sz w:val="20"/>
          <w:szCs w:val="20"/>
          <w:lang w:val="en-US"/>
        </w:rPr>
        <w:lastRenderedPageBreak/>
        <w:t>enterica</w:t>
      </w:r>
      <w:r w:rsidRPr="005F5D7D">
        <w:rPr>
          <w:rFonts w:cstheme="minorHAnsi"/>
          <w:sz w:val="20"/>
          <w:szCs w:val="20"/>
          <w:lang w:val="en-US"/>
        </w:rPr>
        <w:t xml:space="preserve"> serovar </w:t>
      </w:r>
      <w:r w:rsidRPr="005F5D7D">
        <w:rPr>
          <w:rFonts w:cstheme="minorHAnsi"/>
          <w:i/>
          <w:iCs/>
          <w:sz w:val="20"/>
          <w:szCs w:val="20"/>
          <w:lang w:val="en-US"/>
        </w:rPr>
        <w:t>typhimurium</w:t>
      </w:r>
      <w:r w:rsidRPr="005F5D7D">
        <w:rPr>
          <w:rFonts w:cstheme="minorHAnsi"/>
          <w:sz w:val="20"/>
          <w:szCs w:val="20"/>
          <w:lang w:val="en-US"/>
        </w:rPr>
        <w:t xml:space="preserve"> colitis. </w:t>
      </w:r>
      <w:r w:rsidRPr="005F5D7D">
        <w:rPr>
          <w:rFonts w:cstheme="minorHAnsi"/>
          <w:i/>
          <w:iCs/>
          <w:sz w:val="20"/>
          <w:szCs w:val="20"/>
          <w:lang w:val="en-US"/>
        </w:rPr>
        <w:t>Infection and Immunity</w:t>
      </w:r>
      <w:r w:rsidRPr="005F5D7D">
        <w:rPr>
          <w:rFonts w:cstheme="minorHAnsi"/>
          <w:sz w:val="20"/>
          <w:szCs w:val="20"/>
          <w:lang w:val="en-US"/>
        </w:rPr>
        <w:t>.</w:t>
      </w:r>
      <w:r w:rsidR="00623DAA" w:rsidRPr="005F5D7D">
        <w:rPr>
          <w:rFonts w:cstheme="minorHAnsi"/>
          <w:sz w:val="20"/>
          <w:szCs w:val="20"/>
          <w:lang w:val="en-US"/>
        </w:rPr>
        <w:t xml:space="preserve"> </w:t>
      </w:r>
      <w:r w:rsidRPr="005F5D7D">
        <w:rPr>
          <w:rFonts w:cstheme="minorHAnsi"/>
          <w:sz w:val="20"/>
          <w:szCs w:val="20"/>
          <w:lang w:val="en-US"/>
        </w:rPr>
        <w:t>82, 1692-1697.</w:t>
      </w:r>
    </w:p>
    <w:p w:rsidR="0021063D" w:rsidRPr="005F5D7D" w:rsidRDefault="0021063D" w:rsidP="005F5D7D">
      <w:pPr>
        <w:pStyle w:val="Paragraphedeliste"/>
        <w:numPr>
          <w:ilvl w:val="0"/>
          <w:numId w:val="9"/>
        </w:numPr>
        <w:jc w:val="both"/>
        <w:rPr>
          <w:rFonts w:cstheme="minorHAnsi"/>
          <w:b/>
          <w:bCs/>
          <w:sz w:val="20"/>
          <w:szCs w:val="20"/>
          <w:lang w:val="en-US"/>
        </w:rPr>
      </w:pPr>
      <w:r w:rsidRPr="005F5D7D">
        <w:rPr>
          <w:rFonts w:cstheme="minorHAnsi"/>
          <w:sz w:val="20"/>
          <w:szCs w:val="20"/>
          <w:lang w:val="en-US"/>
        </w:rPr>
        <w:t xml:space="preserve">Sellin, M.E, Müller A.A, Felmy B, Dolonschiak T, Diard M, Tardivel A, Maslowski K.M and Hardt W.D. (2014). Epithelium-intrinsic NAIP/NLRC4 inflammasome drives infected entérocyte expulsion to restrict </w:t>
      </w:r>
      <w:r w:rsidRPr="005F5D7D">
        <w:rPr>
          <w:rFonts w:cstheme="minorHAnsi"/>
          <w:i/>
          <w:iCs/>
          <w:sz w:val="20"/>
          <w:szCs w:val="20"/>
          <w:lang w:val="en-US"/>
        </w:rPr>
        <w:t>Salmonella</w:t>
      </w:r>
      <w:r w:rsidRPr="005F5D7D">
        <w:rPr>
          <w:rFonts w:cstheme="minorHAnsi"/>
          <w:sz w:val="20"/>
          <w:szCs w:val="20"/>
          <w:lang w:val="en-US"/>
        </w:rPr>
        <w:t xml:space="preserve"> replication in the intestinal mucosa. </w:t>
      </w:r>
      <w:r w:rsidRPr="005F5D7D">
        <w:rPr>
          <w:rFonts w:cstheme="minorHAnsi"/>
          <w:i/>
          <w:iCs/>
          <w:sz w:val="20"/>
          <w:szCs w:val="20"/>
          <w:lang w:val="en-US"/>
        </w:rPr>
        <w:t>Cell Host Microbe</w:t>
      </w:r>
      <w:r w:rsidRPr="005F5D7D">
        <w:rPr>
          <w:rFonts w:cstheme="minorHAnsi"/>
          <w:sz w:val="20"/>
          <w:szCs w:val="20"/>
          <w:lang w:val="en-US"/>
        </w:rPr>
        <w:t>. 16, 237–248.</w:t>
      </w:r>
    </w:p>
    <w:p w:rsidR="0021063D" w:rsidRPr="005F5D7D" w:rsidRDefault="0021063D" w:rsidP="005F5D7D">
      <w:pPr>
        <w:pStyle w:val="Paragraphedeliste"/>
        <w:numPr>
          <w:ilvl w:val="0"/>
          <w:numId w:val="9"/>
        </w:numPr>
        <w:jc w:val="both"/>
        <w:rPr>
          <w:rFonts w:cstheme="minorHAnsi"/>
          <w:b/>
          <w:bCs/>
          <w:sz w:val="20"/>
          <w:szCs w:val="20"/>
          <w:lang w:val="en-US"/>
        </w:rPr>
      </w:pPr>
      <w:r w:rsidRPr="005F5D7D">
        <w:rPr>
          <w:rFonts w:cstheme="minorHAnsi"/>
          <w:sz w:val="20"/>
          <w:szCs w:val="20"/>
          <w:lang w:val="en-US"/>
        </w:rPr>
        <w:t xml:space="preserve">Setta A.L, Barrow P.A, Kaiser P and Jones M.A. (2012). Immune  dynamics  following  infection  of  avian  macrophages  and epithelial  cells  with  typhoidal  and  non-typhoidal  </w:t>
      </w:r>
      <w:r w:rsidRPr="005F5D7D">
        <w:rPr>
          <w:rFonts w:cstheme="minorHAnsi"/>
          <w:i/>
          <w:iCs/>
          <w:sz w:val="20"/>
          <w:szCs w:val="20"/>
          <w:lang w:val="en-US"/>
        </w:rPr>
        <w:t>Salmonella  enterica</w:t>
      </w:r>
      <w:r w:rsidRPr="005F5D7D">
        <w:rPr>
          <w:rFonts w:cstheme="minorHAnsi"/>
          <w:sz w:val="20"/>
          <w:szCs w:val="20"/>
          <w:lang w:val="en-US"/>
        </w:rPr>
        <w:t xml:space="preserve"> serovars;  bacterial  invasion  and  persistence,  nitric  oxide  and  oxygen production, differential  host  gene expression, NF-кB signaling and cell cytotoxicity. </w:t>
      </w:r>
      <w:r w:rsidRPr="005F5D7D">
        <w:rPr>
          <w:rFonts w:cstheme="minorHAnsi"/>
          <w:i/>
          <w:iCs/>
          <w:sz w:val="20"/>
          <w:szCs w:val="20"/>
          <w:lang w:val="en-US"/>
        </w:rPr>
        <w:t>Veterinery Immunology and Immunopathology</w:t>
      </w:r>
      <w:r w:rsidRPr="005F5D7D">
        <w:rPr>
          <w:rFonts w:cstheme="minorHAnsi"/>
          <w:sz w:val="20"/>
          <w:szCs w:val="20"/>
          <w:lang w:val="en-US"/>
        </w:rPr>
        <w:t>. 146, 212-224.</w:t>
      </w:r>
    </w:p>
    <w:p w:rsidR="0021063D" w:rsidRPr="005F5D7D" w:rsidRDefault="0021063D" w:rsidP="005F5D7D">
      <w:pPr>
        <w:pStyle w:val="Paragraphedeliste"/>
        <w:numPr>
          <w:ilvl w:val="0"/>
          <w:numId w:val="9"/>
        </w:numPr>
        <w:jc w:val="both"/>
        <w:rPr>
          <w:rFonts w:cstheme="minorHAnsi"/>
          <w:b/>
          <w:bCs/>
          <w:sz w:val="20"/>
          <w:szCs w:val="20"/>
          <w:lang w:val="en-US"/>
        </w:rPr>
      </w:pPr>
      <w:r w:rsidRPr="005F5D7D">
        <w:rPr>
          <w:rFonts w:cstheme="minorHAnsi"/>
          <w:sz w:val="20"/>
          <w:szCs w:val="20"/>
          <w:lang w:val="en-US"/>
        </w:rPr>
        <w:t xml:space="preserve">Shi J, Zhao Y, Wang K, Shi X, Wang K, Huang H, Zhuang Y, Cai T, Wang, F and Shao F. (2015).  Cleavage of GSDMD by inflammatory caspases determines pyroptotic cell death. </w:t>
      </w:r>
      <w:r w:rsidRPr="005F5D7D">
        <w:rPr>
          <w:rFonts w:cstheme="minorHAnsi"/>
          <w:i/>
          <w:iCs/>
          <w:sz w:val="20"/>
          <w:szCs w:val="20"/>
          <w:lang w:val="en-US"/>
        </w:rPr>
        <w:t>Nature</w:t>
      </w:r>
      <w:r w:rsidRPr="005F5D7D">
        <w:rPr>
          <w:rFonts w:cstheme="minorHAnsi"/>
          <w:sz w:val="20"/>
          <w:szCs w:val="20"/>
          <w:lang w:val="en-US"/>
        </w:rPr>
        <w:t>. 526</w:t>
      </w:r>
      <w:r w:rsidR="00DF7D27" w:rsidRPr="005F5D7D">
        <w:rPr>
          <w:rFonts w:cstheme="minorHAnsi"/>
          <w:sz w:val="20"/>
          <w:szCs w:val="20"/>
          <w:lang w:val="en-US"/>
        </w:rPr>
        <w:t>, 660</w:t>
      </w:r>
      <w:r w:rsidRPr="005F5D7D">
        <w:rPr>
          <w:rFonts w:cstheme="minorHAnsi"/>
          <w:sz w:val="20"/>
          <w:szCs w:val="20"/>
          <w:lang w:val="en-US"/>
        </w:rPr>
        <w:t>-665</w:t>
      </w:r>
    </w:p>
    <w:p w:rsidR="0021063D" w:rsidRPr="005F5D7D" w:rsidRDefault="0021063D" w:rsidP="005F5D7D">
      <w:pPr>
        <w:pStyle w:val="Paragraphedeliste"/>
        <w:numPr>
          <w:ilvl w:val="0"/>
          <w:numId w:val="9"/>
        </w:numPr>
        <w:jc w:val="both"/>
        <w:rPr>
          <w:rFonts w:cstheme="minorHAnsi"/>
          <w:b/>
          <w:bCs/>
          <w:sz w:val="20"/>
          <w:szCs w:val="20"/>
          <w:lang w:val="en-US"/>
        </w:rPr>
      </w:pPr>
      <w:r w:rsidRPr="005F5D7D">
        <w:rPr>
          <w:rFonts w:cstheme="minorHAnsi"/>
          <w:sz w:val="20"/>
          <w:szCs w:val="20"/>
          <w:lang w:val="en-US"/>
        </w:rPr>
        <w:t>Shi J, Zhao Y, Wang Y, Gao W, Ding J, Li P, Hu L and  Shao F. (2014).  Inflammatory caspases are innate immune receptors for intracellular LPS.</w:t>
      </w:r>
      <w:r w:rsidRPr="005F5D7D">
        <w:rPr>
          <w:rFonts w:cstheme="minorHAnsi"/>
          <w:i/>
          <w:iCs/>
          <w:sz w:val="20"/>
          <w:szCs w:val="20"/>
          <w:lang w:val="en-US"/>
        </w:rPr>
        <w:t xml:space="preserve"> Nature</w:t>
      </w:r>
      <w:r w:rsidRPr="005F5D7D">
        <w:rPr>
          <w:rFonts w:cstheme="minorHAnsi"/>
          <w:sz w:val="20"/>
          <w:szCs w:val="20"/>
          <w:lang w:val="en-US"/>
        </w:rPr>
        <w:t>. 514, 187–192.</w:t>
      </w:r>
    </w:p>
    <w:p w:rsidR="0021063D" w:rsidRPr="005F5D7D" w:rsidRDefault="0021063D" w:rsidP="005F5D7D">
      <w:pPr>
        <w:pStyle w:val="Paragraphedeliste"/>
        <w:numPr>
          <w:ilvl w:val="0"/>
          <w:numId w:val="9"/>
        </w:numPr>
        <w:jc w:val="both"/>
        <w:rPr>
          <w:rFonts w:cstheme="minorHAnsi"/>
          <w:b/>
          <w:bCs/>
          <w:sz w:val="20"/>
          <w:szCs w:val="20"/>
          <w:lang w:val="en-US"/>
        </w:rPr>
      </w:pPr>
      <w:r w:rsidRPr="005F5D7D">
        <w:rPr>
          <w:rFonts w:cstheme="minorHAnsi"/>
          <w:sz w:val="20"/>
          <w:szCs w:val="20"/>
          <w:lang w:val="en-US"/>
        </w:rPr>
        <w:t xml:space="preserve">Simm R, Ahmed I, Rhen M, Le Guyon S and Römling U. (2014). Regulation of biofilme formation in </w:t>
      </w:r>
      <w:r w:rsidRPr="005F5D7D">
        <w:rPr>
          <w:rFonts w:cstheme="minorHAnsi"/>
          <w:i/>
          <w:iCs/>
          <w:sz w:val="20"/>
          <w:szCs w:val="20"/>
          <w:lang w:val="en-US"/>
        </w:rPr>
        <w:t>Salmonella enterica</w:t>
      </w:r>
      <w:r w:rsidRPr="005F5D7D">
        <w:rPr>
          <w:rFonts w:cstheme="minorHAnsi"/>
          <w:sz w:val="20"/>
          <w:szCs w:val="20"/>
          <w:lang w:val="en-US"/>
        </w:rPr>
        <w:t xml:space="preserve"> serovar </w:t>
      </w:r>
      <w:r w:rsidRPr="005F5D7D">
        <w:rPr>
          <w:rFonts w:cstheme="minorHAnsi"/>
          <w:i/>
          <w:iCs/>
          <w:sz w:val="20"/>
          <w:szCs w:val="20"/>
          <w:lang w:val="en-US"/>
        </w:rPr>
        <w:t>Typhimurium</w:t>
      </w:r>
      <w:r w:rsidRPr="005F5D7D">
        <w:rPr>
          <w:rFonts w:cstheme="minorHAnsi"/>
          <w:sz w:val="20"/>
          <w:szCs w:val="20"/>
          <w:lang w:val="en-US"/>
        </w:rPr>
        <w:t xml:space="preserve">. </w:t>
      </w:r>
      <w:r w:rsidRPr="005F5D7D">
        <w:rPr>
          <w:rFonts w:cstheme="minorHAnsi"/>
          <w:i/>
          <w:iCs/>
          <w:sz w:val="20"/>
          <w:szCs w:val="20"/>
          <w:lang w:val="en-US"/>
        </w:rPr>
        <w:t>Future Microbiology</w:t>
      </w:r>
      <w:r w:rsidRPr="005F5D7D">
        <w:rPr>
          <w:rFonts w:cstheme="minorHAnsi"/>
          <w:sz w:val="20"/>
          <w:szCs w:val="20"/>
          <w:lang w:val="en-US"/>
        </w:rPr>
        <w:t>. 9, 1261-1282</w:t>
      </w:r>
    </w:p>
    <w:p w:rsidR="0021063D" w:rsidRPr="005F5D7D" w:rsidRDefault="0021063D" w:rsidP="005F5D7D">
      <w:pPr>
        <w:pStyle w:val="Paragraphedeliste"/>
        <w:numPr>
          <w:ilvl w:val="0"/>
          <w:numId w:val="9"/>
        </w:numPr>
        <w:jc w:val="both"/>
        <w:rPr>
          <w:rFonts w:cstheme="minorHAnsi"/>
          <w:b/>
          <w:bCs/>
          <w:sz w:val="20"/>
          <w:szCs w:val="20"/>
          <w:lang w:val="en-US"/>
        </w:rPr>
      </w:pPr>
      <w:r w:rsidRPr="005F5D7D">
        <w:rPr>
          <w:rFonts w:cstheme="minorHAnsi"/>
          <w:sz w:val="20"/>
          <w:szCs w:val="20"/>
          <w:lang w:val="en-US"/>
        </w:rPr>
        <w:t xml:space="preserve">Slack E, Balmer M.L and Macpherson A.J. (2014). B cell as a critical node in the microbiota-host immune system network. </w:t>
      </w:r>
      <w:r w:rsidRPr="005F5D7D">
        <w:rPr>
          <w:rFonts w:cstheme="minorHAnsi"/>
          <w:i/>
          <w:iCs/>
          <w:sz w:val="20"/>
          <w:szCs w:val="20"/>
          <w:lang w:val="en-US"/>
        </w:rPr>
        <w:t>Immunological Reviews</w:t>
      </w:r>
      <w:r w:rsidRPr="005F5D7D">
        <w:rPr>
          <w:rFonts w:cstheme="minorHAnsi"/>
          <w:sz w:val="20"/>
          <w:szCs w:val="20"/>
          <w:lang w:val="en-US"/>
        </w:rPr>
        <w:t>. 260, 50-66</w:t>
      </w:r>
    </w:p>
    <w:p w:rsidR="0021063D" w:rsidRPr="005F5D7D" w:rsidRDefault="0021063D" w:rsidP="005F5D7D">
      <w:pPr>
        <w:pStyle w:val="Paragraphedeliste"/>
        <w:numPr>
          <w:ilvl w:val="0"/>
          <w:numId w:val="9"/>
        </w:numPr>
        <w:jc w:val="both"/>
        <w:rPr>
          <w:rFonts w:cstheme="minorHAnsi"/>
          <w:b/>
          <w:bCs/>
          <w:sz w:val="20"/>
          <w:szCs w:val="20"/>
          <w:lang w:val="en-US"/>
        </w:rPr>
      </w:pPr>
      <w:r w:rsidRPr="005F5D7D">
        <w:rPr>
          <w:rFonts w:cstheme="minorHAnsi"/>
          <w:sz w:val="20"/>
          <w:szCs w:val="20"/>
          <w:lang w:val="en-US"/>
        </w:rPr>
        <w:t xml:space="preserve">Sommer F and Bäckhed F. (2013). The gut microbiota-masters of host development and physiology. </w:t>
      </w:r>
      <w:r w:rsidRPr="005F5D7D">
        <w:rPr>
          <w:rFonts w:cstheme="minorHAnsi"/>
          <w:i/>
          <w:iCs/>
          <w:sz w:val="20"/>
          <w:szCs w:val="20"/>
          <w:lang w:val="en-US"/>
        </w:rPr>
        <w:t>Nature Review Microbiology</w:t>
      </w:r>
      <w:r w:rsidRPr="005F5D7D">
        <w:rPr>
          <w:rFonts w:cstheme="minorHAnsi"/>
          <w:sz w:val="20"/>
          <w:szCs w:val="20"/>
          <w:lang w:val="en-US"/>
        </w:rPr>
        <w:t>.11, 227-238</w:t>
      </w:r>
    </w:p>
    <w:p w:rsidR="0021063D" w:rsidRPr="005F5D7D" w:rsidRDefault="0021063D" w:rsidP="005F5D7D">
      <w:pPr>
        <w:pStyle w:val="Paragraphedeliste"/>
        <w:numPr>
          <w:ilvl w:val="0"/>
          <w:numId w:val="9"/>
        </w:numPr>
        <w:jc w:val="both"/>
        <w:rPr>
          <w:rFonts w:cstheme="minorHAnsi"/>
          <w:b/>
          <w:bCs/>
          <w:sz w:val="20"/>
          <w:szCs w:val="20"/>
          <w:lang w:val="en-US"/>
        </w:rPr>
      </w:pPr>
      <w:r w:rsidRPr="005F5D7D">
        <w:rPr>
          <w:rFonts w:cstheme="minorHAnsi"/>
          <w:sz w:val="20"/>
          <w:szCs w:val="20"/>
          <w:lang w:val="en-US"/>
        </w:rPr>
        <w:t xml:space="preserve">Song J, Gao X and Galán J.E (2013). Structure and function of the </w:t>
      </w:r>
      <w:r w:rsidRPr="005F5D7D">
        <w:rPr>
          <w:rFonts w:cstheme="minorHAnsi"/>
          <w:i/>
          <w:iCs/>
          <w:sz w:val="20"/>
          <w:szCs w:val="20"/>
          <w:lang w:val="en-US"/>
        </w:rPr>
        <w:t>Salmonella Typhi</w:t>
      </w:r>
      <w:r w:rsidRPr="005F5D7D">
        <w:rPr>
          <w:rFonts w:cstheme="minorHAnsi"/>
          <w:sz w:val="20"/>
          <w:szCs w:val="20"/>
          <w:lang w:val="en-US"/>
        </w:rPr>
        <w:t xml:space="preserve"> chimaeric A2B5 typhoid toxin. </w:t>
      </w:r>
      <w:r w:rsidRPr="005F5D7D">
        <w:rPr>
          <w:rFonts w:cstheme="minorHAnsi"/>
          <w:i/>
          <w:iCs/>
          <w:sz w:val="20"/>
          <w:szCs w:val="20"/>
          <w:lang w:val="en-US"/>
        </w:rPr>
        <w:t>Nature</w:t>
      </w:r>
      <w:r w:rsidRPr="005F5D7D">
        <w:rPr>
          <w:rFonts w:cstheme="minorHAnsi"/>
          <w:sz w:val="20"/>
          <w:szCs w:val="20"/>
          <w:lang w:val="en-US"/>
        </w:rPr>
        <w:t>. 18, 1-5.</w:t>
      </w:r>
    </w:p>
    <w:p w:rsidR="0021063D" w:rsidRPr="005F5D7D" w:rsidRDefault="0021063D" w:rsidP="005F5D7D">
      <w:pPr>
        <w:pStyle w:val="Paragraphedeliste"/>
        <w:numPr>
          <w:ilvl w:val="0"/>
          <w:numId w:val="9"/>
        </w:numPr>
        <w:jc w:val="both"/>
        <w:rPr>
          <w:rFonts w:cstheme="minorHAnsi"/>
          <w:b/>
          <w:bCs/>
          <w:sz w:val="20"/>
          <w:szCs w:val="20"/>
          <w:lang w:val="en-US"/>
        </w:rPr>
      </w:pPr>
      <w:r w:rsidRPr="005F5D7D">
        <w:rPr>
          <w:rFonts w:cstheme="minorHAnsi"/>
          <w:sz w:val="20"/>
          <w:szCs w:val="20"/>
          <w:lang w:val="en-US"/>
        </w:rPr>
        <w:t xml:space="preserve">Spanò S. (2016).  Mechanisms of </w:t>
      </w:r>
      <w:r w:rsidRPr="005F5D7D">
        <w:rPr>
          <w:rFonts w:cstheme="minorHAnsi"/>
          <w:i/>
          <w:iCs/>
          <w:sz w:val="20"/>
          <w:szCs w:val="20"/>
          <w:lang w:val="en-US"/>
        </w:rPr>
        <w:t>Salmonella typhi</w:t>
      </w:r>
      <w:r w:rsidRPr="005F5D7D">
        <w:rPr>
          <w:rFonts w:cstheme="minorHAnsi"/>
          <w:sz w:val="20"/>
          <w:szCs w:val="20"/>
          <w:lang w:val="en-US"/>
        </w:rPr>
        <w:t xml:space="preserve"> host restriction. </w:t>
      </w:r>
      <w:r w:rsidRPr="005F5D7D">
        <w:rPr>
          <w:rFonts w:cstheme="minorHAnsi"/>
          <w:i/>
          <w:iCs/>
          <w:sz w:val="20"/>
          <w:szCs w:val="20"/>
          <w:lang w:val="en-US"/>
        </w:rPr>
        <w:t>Biophysics of Infection</w:t>
      </w:r>
      <w:r w:rsidRPr="005F5D7D">
        <w:rPr>
          <w:rFonts w:cstheme="minorHAnsi"/>
          <w:sz w:val="20"/>
          <w:szCs w:val="20"/>
          <w:lang w:val="en-US"/>
        </w:rPr>
        <w:t>. 17, 283-294.</w:t>
      </w:r>
    </w:p>
    <w:p w:rsidR="0021063D" w:rsidRPr="005F5D7D" w:rsidRDefault="00133246" w:rsidP="005F5D7D">
      <w:pPr>
        <w:pStyle w:val="Paragraphedeliste"/>
        <w:numPr>
          <w:ilvl w:val="0"/>
          <w:numId w:val="9"/>
        </w:numPr>
        <w:jc w:val="both"/>
        <w:rPr>
          <w:rFonts w:cstheme="minorHAnsi"/>
          <w:b/>
          <w:bCs/>
          <w:sz w:val="20"/>
          <w:szCs w:val="20"/>
          <w:lang w:val="en-US"/>
        </w:rPr>
      </w:pPr>
      <w:r w:rsidRPr="005F5D7D">
        <w:rPr>
          <w:rFonts w:cstheme="minorHAnsi"/>
          <w:sz w:val="20"/>
          <w:szCs w:val="20"/>
          <w:lang w:val="en-US"/>
        </w:rPr>
        <w:lastRenderedPageBreak/>
        <w:t>Stecher</w:t>
      </w:r>
      <w:r w:rsidR="0021063D" w:rsidRPr="005F5D7D">
        <w:rPr>
          <w:rFonts w:cstheme="minorHAnsi"/>
          <w:sz w:val="20"/>
          <w:szCs w:val="20"/>
          <w:lang w:val="en-US"/>
        </w:rPr>
        <w:t xml:space="preserve"> B. (2015). The roles of inflammation, nutrient availability and the commensal </w:t>
      </w:r>
      <w:r w:rsidR="0021063D" w:rsidRPr="005F5D7D">
        <w:rPr>
          <w:rFonts w:cstheme="minorHAnsi"/>
          <w:i/>
          <w:iCs/>
          <w:sz w:val="20"/>
          <w:szCs w:val="20"/>
          <w:lang w:val="en-US"/>
        </w:rPr>
        <w:t xml:space="preserve">microbiota </w:t>
      </w:r>
      <w:r w:rsidR="0021063D" w:rsidRPr="005F5D7D">
        <w:rPr>
          <w:rFonts w:cstheme="minorHAnsi"/>
          <w:sz w:val="20"/>
          <w:szCs w:val="20"/>
          <w:lang w:val="en-US"/>
        </w:rPr>
        <w:t xml:space="preserve">in enteric pathogen infection. </w:t>
      </w:r>
      <w:r w:rsidR="00185BBC" w:rsidRPr="005F5D7D">
        <w:rPr>
          <w:rFonts w:cstheme="minorHAnsi"/>
          <w:i/>
          <w:iCs/>
          <w:sz w:val="20"/>
          <w:szCs w:val="20"/>
          <w:lang w:val="en-US"/>
        </w:rPr>
        <w:t>Microbiology S</w:t>
      </w:r>
      <w:r w:rsidR="0021063D" w:rsidRPr="005F5D7D">
        <w:rPr>
          <w:rFonts w:cstheme="minorHAnsi"/>
          <w:i/>
          <w:iCs/>
          <w:sz w:val="20"/>
          <w:szCs w:val="20"/>
          <w:lang w:val="en-US"/>
        </w:rPr>
        <w:t>pectrum</w:t>
      </w:r>
      <w:r w:rsidR="0021063D" w:rsidRPr="005F5D7D">
        <w:rPr>
          <w:rFonts w:cstheme="minorHAnsi"/>
          <w:sz w:val="20"/>
          <w:szCs w:val="20"/>
          <w:lang w:val="en-US"/>
        </w:rPr>
        <w:t xml:space="preserve">. 3, 1-17. </w:t>
      </w:r>
    </w:p>
    <w:p w:rsidR="0021063D" w:rsidRPr="005F5D7D" w:rsidRDefault="0021063D" w:rsidP="005F5D7D">
      <w:pPr>
        <w:pStyle w:val="Paragraphedeliste"/>
        <w:numPr>
          <w:ilvl w:val="0"/>
          <w:numId w:val="9"/>
        </w:numPr>
        <w:jc w:val="both"/>
        <w:rPr>
          <w:rFonts w:cstheme="minorHAnsi"/>
          <w:b/>
          <w:bCs/>
          <w:sz w:val="20"/>
          <w:szCs w:val="20"/>
          <w:lang w:val="en-US"/>
        </w:rPr>
      </w:pPr>
      <w:r w:rsidRPr="005F5D7D">
        <w:rPr>
          <w:rFonts w:cstheme="minorHAnsi"/>
          <w:sz w:val="20"/>
          <w:szCs w:val="20"/>
        </w:rPr>
        <w:t xml:space="preserve">Su L, Su C.W, Qi Y, Yang G, Zhang M, Cherayil B, Zhang X and Shi H.N. (2014). </w:t>
      </w:r>
      <w:r w:rsidRPr="005F5D7D">
        <w:rPr>
          <w:rFonts w:cstheme="minorHAnsi"/>
          <w:sz w:val="20"/>
          <w:szCs w:val="20"/>
          <w:lang w:val="en-US"/>
        </w:rPr>
        <w:t>Co-infection with an intestinal helminth impairs host innate immunity against</w:t>
      </w:r>
      <w:r w:rsidRPr="005F5D7D">
        <w:rPr>
          <w:rFonts w:cstheme="minorHAnsi"/>
          <w:i/>
          <w:iCs/>
          <w:sz w:val="20"/>
          <w:szCs w:val="20"/>
          <w:lang w:val="en-US"/>
        </w:rPr>
        <w:t xml:space="preserve"> Salmonella</w:t>
      </w:r>
      <w:r w:rsidRPr="005F5D7D">
        <w:rPr>
          <w:rFonts w:cstheme="minorHAnsi"/>
          <w:sz w:val="20"/>
          <w:szCs w:val="20"/>
          <w:lang w:val="en-US"/>
        </w:rPr>
        <w:t xml:space="preserve"> and exacerbates intestinal inflammation in mice. </w:t>
      </w:r>
      <w:r w:rsidRPr="005F5D7D">
        <w:rPr>
          <w:rFonts w:cstheme="minorHAnsi"/>
          <w:i/>
          <w:iCs/>
          <w:sz w:val="20"/>
          <w:szCs w:val="20"/>
          <w:lang w:val="en-US"/>
        </w:rPr>
        <w:t>Infection and Immunity</w:t>
      </w:r>
      <w:r w:rsidRPr="005F5D7D">
        <w:rPr>
          <w:rFonts w:cstheme="minorHAnsi"/>
          <w:sz w:val="20"/>
          <w:szCs w:val="20"/>
          <w:lang w:val="en-US"/>
        </w:rPr>
        <w:t>. 82, 3855-3866.</w:t>
      </w:r>
    </w:p>
    <w:p w:rsidR="0021063D" w:rsidRPr="005F5D7D" w:rsidRDefault="0021063D" w:rsidP="005F5D7D">
      <w:pPr>
        <w:pStyle w:val="Paragraphedeliste"/>
        <w:numPr>
          <w:ilvl w:val="0"/>
          <w:numId w:val="9"/>
        </w:numPr>
        <w:jc w:val="both"/>
        <w:rPr>
          <w:rFonts w:cstheme="minorHAnsi"/>
          <w:b/>
          <w:bCs/>
          <w:sz w:val="20"/>
          <w:szCs w:val="20"/>
          <w:lang w:val="en-US"/>
        </w:rPr>
      </w:pPr>
      <w:r w:rsidRPr="005F5D7D">
        <w:rPr>
          <w:rFonts w:cstheme="minorHAnsi"/>
          <w:sz w:val="20"/>
          <w:szCs w:val="20"/>
          <w:lang w:val="en-US"/>
        </w:rPr>
        <w:t xml:space="preserve">Swart A.L and Hensel M. (2012). Interaction of </w:t>
      </w:r>
      <w:r w:rsidRPr="005F5D7D">
        <w:rPr>
          <w:rFonts w:cstheme="minorHAnsi"/>
          <w:i/>
          <w:iCs/>
          <w:sz w:val="20"/>
          <w:szCs w:val="20"/>
          <w:lang w:val="en-US"/>
        </w:rPr>
        <w:t>salmonella</w:t>
      </w:r>
      <w:r w:rsidRPr="005F5D7D">
        <w:rPr>
          <w:rFonts w:cstheme="minorHAnsi"/>
          <w:sz w:val="20"/>
          <w:szCs w:val="20"/>
          <w:lang w:val="en-US"/>
        </w:rPr>
        <w:t xml:space="preserve"> enterica with dendritic cell. </w:t>
      </w:r>
      <w:r w:rsidRPr="005F5D7D">
        <w:rPr>
          <w:rFonts w:cstheme="minorHAnsi"/>
          <w:i/>
          <w:iCs/>
          <w:sz w:val="20"/>
          <w:szCs w:val="20"/>
          <w:lang w:val="en-US"/>
        </w:rPr>
        <w:t>Virulence</w:t>
      </w:r>
      <w:r w:rsidRPr="005F5D7D">
        <w:rPr>
          <w:rFonts w:cstheme="minorHAnsi"/>
          <w:sz w:val="20"/>
          <w:szCs w:val="20"/>
          <w:lang w:val="en-US"/>
        </w:rPr>
        <w:t>. 3, 660-667.</w:t>
      </w:r>
    </w:p>
    <w:p w:rsidR="0021063D" w:rsidRPr="005F5D7D" w:rsidRDefault="0021063D" w:rsidP="005F5D7D">
      <w:pPr>
        <w:pStyle w:val="Paragraphedeliste"/>
        <w:numPr>
          <w:ilvl w:val="0"/>
          <w:numId w:val="9"/>
        </w:numPr>
        <w:jc w:val="both"/>
        <w:rPr>
          <w:rFonts w:cstheme="minorHAnsi"/>
          <w:b/>
          <w:bCs/>
          <w:sz w:val="20"/>
          <w:szCs w:val="20"/>
          <w:lang w:val="en-US"/>
        </w:rPr>
      </w:pPr>
      <w:r w:rsidRPr="005F5D7D">
        <w:rPr>
          <w:rFonts w:cstheme="minorHAnsi"/>
          <w:sz w:val="20"/>
          <w:szCs w:val="20"/>
          <w:lang w:val="en-US"/>
        </w:rPr>
        <w:t xml:space="preserve">Sztein M.B, Salerno-Goncalves R and McArthur M.A. (2014). Complex adaptive immunity to enteric fevers in humans: lessons learned and the path forward. </w:t>
      </w:r>
      <w:r w:rsidRPr="005F5D7D">
        <w:rPr>
          <w:rFonts w:cstheme="minorHAnsi"/>
          <w:i/>
          <w:iCs/>
          <w:sz w:val="20"/>
          <w:szCs w:val="20"/>
          <w:lang w:val="en-US"/>
        </w:rPr>
        <w:t>Frontiers in Immunology</w:t>
      </w:r>
      <w:r w:rsidRPr="005F5D7D">
        <w:rPr>
          <w:rFonts w:cstheme="minorHAnsi"/>
          <w:sz w:val="20"/>
          <w:szCs w:val="20"/>
          <w:lang w:val="en-US"/>
        </w:rPr>
        <w:t>. 5, 1-20.</w:t>
      </w:r>
    </w:p>
    <w:p w:rsidR="0021063D" w:rsidRPr="005F5D7D" w:rsidRDefault="0021063D" w:rsidP="005F5D7D">
      <w:pPr>
        <w:pStyle w:val="Paragraphedeliste"/>
        <w:numPr>
          <w:ilvl w:val="0"/>
          <w:numId w:val="9"/>
        </w:numPr>
        <w:jc w:val="both"/>
        <w:rPr>
          <w:rFonts w:cstheme="minorHAnsi"/>
          <w:b/>
          <w:bCs/>
          <w:sz w:val="20"/>
          <w:szCs w:val="20"/>
          <w:lang w:val="en-US"/>
        </w:rPr>
      </w:pPr>
      <w:r w:rsidRPr="005F5D7D">
        <w:rPr>
          <w:rFonts w:cstheme="minorHAnsi"/>
          <w:sz w:val="20"/>
          <w:szCs w:val="20"/>
          <w:lang w:val="en-US"/>
        </w:rPr>
        <w:t xml:space="preserve">Thiemann S, Smit, N, Roy U, Lesker T.R, Galvez E.J.C, Helmecke J, Basic, M, Bleich A, Goodman A.L, Kalinke U, Flavell R.A, Erhardt M and Strowig T. (2017). </w:t>
      </w:r>
      <w:r w:rsidRPr="005F5D7D">
        <w:rPr>
          <w:rFonts w:cstheme="minorHAnsi"/>
          <w:i/>
          <w:iCs/>
          <w:sz w:val="20"/>
          <w:szCs w:val="20"/>
          <w:lang w:val="en-US"/>
        </w:rPr>
        <w:t>Cell Host Microbe</w:t>
      </w:r>
      <w:r w:rsidRPr="005F5D7D">
        <w:rPr>
          <w:rFonts w:cstheme="minorHAnsi"/>
          <w:sz w:val="20"/>
          <w:szCs w:val="20"/>
          <w:lang w:val="en-US"/>
        </w:rPr>
        <w:t>. 21, 682–694.</w:t>
      </w:r>
    </w:p>
    <w:p w:rsidR="0021063D" w:rsidRPr="005F5D7D" w:rsidRDefault="0021063D" w:rsidP="005F5D7D">
      <w:pPr>
        <w:pStyle w:val="Paragraphedeliste"/>
        <w:numPr>
          <w:ilvl w:val="0"/>
          <w:numId w:val="9"/>
        </w:numPr>
        <w:jc w:val="both"/>
        <w:rPr>
          <w:rFonts w:cstheme="minorHAnsi"/>
          <w:b/>
          <w:bCs/>
          <w:sz w:val="20"/>
          <w:szCs w:val="20"/>
          <w:lang w:val="en-US"/>
        </w:rPr>
      </w:pPr>
      <w:r w:rsidRPr="005F5D7D">
        <w:rPr>
          <w:rFonts w:cstheme="minorHAnsi"/>
          <w:sz w:val="20"/>
          <w:szCs w:val="20"/>
          <w:lang w:val="en-US"/>
        </w:rPr>
        <w:t xml:space="preserve">Thiennimitr P, winter S.E, and Bäumler A.J. (2012). </w:t>
      </w:r>
      <w:r w:rsidRPr="005F5D7D">
        <w:rPr>
          <w:rFonts w:cstheme="minorHAnsi"/>
          <w:i/>
          <w:iCs/>
          <w:sz w:val="20"/>
          <w:szCs w:val="20"/>
          <w:lang w:val="en-US"/>
        </w:rPr>
        <w:t>Salmonella</w:t>
      </w:r>
      <w:r w:rsidRPr="005F5D7D">
        <w:rPr>
          <w:rFonts w:cstheme="minorHAnsi"/>
          <w:sz w:val="20"/>
          <w:szCs w:val="20"/>
          <w:lang w:val="en-US"/>
        </w:rPr>
        <w:t xml:space="preserve">, the host and its microbiota. </w:t>
      </w:r>
      <w:r w:rsidRPr="005F5D7D">
        <w:rPr>
          <w:rFonts w:cstheme="minorHAnsi"/>
          <w:i/>
          <w:iCs/>
          <w:sz w:val="20"/>
          <w:szCs w:val="20"/>
          <w:lang w:val="en-US"/>
        </w:rPr>
        <w:t>Current Opinion in Microbiology</w:t>
      </w:r>
      <w:r w:rsidRPr="005F5D7D">
        <w:rPr>
          <w:rFonts w:cstheme="minorHAnsi"/>
          <w:sz w:val="20"/>
          <w:szCs w:val="20"/>
          <w:lang w:val="en-US"/>
        </w:rPr>
        <w:t>. 15, 108–114</w:t>
      </w:r>
    </w:p>
    <w:p w:rsidR="0021063D" w:rsidRPr="005F5D7D" w:rsidRDefault="0021063D" w:rsidP="005F5D7D">
      <w:pPr>
        <w:pStyle w:val="Paragraphedeliste"/>
        <w:numPr>
          <w:ilvl w:val="0"/>
          <w:numId w:val="9"/>
        </w:numPr>
        <w:jc w:val="both"/>
        <w:rPr>
          <w:rFonts w:cstheme="minorHAnsi"/>
          <w:b/>
          <w:bCs/>
          <w:sz w:val="20"/>
          <w:szCs w:val="20"/>
          <w:lang w:val="en-US"/>
        </w:rPr>
      </w:pPr>
      <w:r w:rsidRPr="005F5D7D">
        <w:rPr>
          <w:rFonts w:cstheme="minorHAnsi"/>
          <w:sz w:val="20"/>
          <w:szCs w:val="20"/>
          <w:lang w:val="en-US"/>
        </w:rPr>
        <w:t xml:space="preserve">Troxell B. (2018). A type 6 secretion system (T6SS) encoded gene within </w:t>
      </w:r>
      <w:r w:rsidRPr="005F5D7D">
        <w:rPr>
          <w:rFonts w:cstheme="minorHAnsi"/>
          <w:i/>
          <w:iCs/>
          <w:sz w:val="20"/>
          <w:szCs w:val="20"/>
          <w:lang w:val="en-US"/>
        </w:rPr>
        <w:t>Salmonella</w:t>
      </w:r>
      <w:r w:rsidRPr="005F5D7D">
        <w:rPr>
          <w:rFonts w:cstheme="minorHAnsi"/>
          <w:sz w:val="20"/>
          <w:szCs w:val="20"/>
          <w:lang w:val="en-US"/>
        </w:rPr>
        <w:t xml:space="preserve"> </w:t>
      </w:r>
      <w:r w:rsidRPr="005F5D7D">
        <w:rPr>
          <w:rFonts w:cstheme="minorHAnsi"/>
          <w:i/>
          <w:iCs/>
          <w:sz w:val="20"/>
          <w:szCs w:val="20"/>
          <w:lang w:val="en-US"/>
        </w:rPr>
        <w:t xml:space="preserve">Enterica </w:t>
      </w:r>
      <w:r w:rsidRPr="005F5D7D">
        <w:rPr>
          <w:rFonts w:cstheme="minorHAnsi"/>
          <w:sz w:val="20"/>
          <w:szCs w:val="20"/>
          <w:lang w:val="en-US"/>
        </w:rPr>
        <w:t xml:space="preserve">serovar </w:t>
      </w:r>
      <w:r w:rsidRPr="005F5D7D">
        <w:rPr>
          <w:rFonts w:cstheme="minorHAnsi"/>
          <w:i/>
          <w:iCs/>
          <w:sz w:val="20"/>
          <w:szCs w:val="20"/>
          <w:lang w:val="en-US"/>
        </w:rPr>
        <w:t>Enteritidis</w:t>
      </w:r>
      <w:r w:rsidRPr="005F5D7D">
        <w:rPr>
          <w:rFonts w:cstheme="minorHAnsi"/>
          <w:sz w:val="20"/>
          <w:szCs w:val="20"/>
          <w:lang w:val="en-US"/>
        </w:rPr>
        <w:t xml:space="preserve"> contributes to virulence. </w:t>
      </w:r>
      <w:r w:rsidRPr="005F5D7D">
        <w:rPr>
          <w:rFonts w:cstheme="minorHAnsi"/>
          <w:i/>
          <w:iCs/>
          <w:sz w:val="20"/>
          <w:szCs w:val="20"/>
          <w:lang w:val="en-US"/>
        </w:rPr>
        <w:t>Virulence</w:t>
      </w:r>
      <w:r w:rsidRPr="005F5D7D">
        <w:rPr>
          <w:rFonts w:cstheme="minorHAnsi"/>
          <w:sz w:val="20"/>
          <w:szCs w:val="20"/>
          <w:lang w:val="en-US"/>
        </w:rPr>
        <w:t>. 9, 585-587.</w:t>
      </w:r>
    </w:p>
    <w:p w:rsidR="0021063D" w:rsidRPr="005F5D7D" w:rsidRDefault="0021063D" w:rsidP="005F5D7D">
      <w:pPr>
        <w:pStyle w:val="Paragraphedeliste"/>
        <w:numPr>
          <w:ilvl w:val="0"/>
          <w:numId w:val="9"/>
        </w:numPr>
        <w:jc w:val="both"/>
        <w:rPr>
          <w:rFonts w:cstheme="minorHAnsi"/>
          <w:b/>
          <w:bCs/>
          <w:sz w:val="20"/>
          <w:szCs w:val="20"/>
          <w:lang w:val="en-US"/>
        </w:rPr>
      </w:pPr>
      <w:r w:rsidRPr="005F5D7D">
        <w:rPr>
          <w:rFonts w:cstheme="minorHAnsi"/>
          <w:sz w:val="20"/>
          <w:szCs w:val="20"/>
          <w:lang w:val="en-US"/>
        </w:rPr>
        <w:t xml:space="preserve">Valenzuela L.M, Hidalogo H.A, Rogreguez I, Urrutia I.M, Ortga A.P Villagra N.A, Paredes-Saavedra D, Mora G.C and Fuentes S.A. (2015). Pseudogenization of SopA and SopE2 is functionally linked and contributes to virulence of </w:t>
      </w:r>
      <w:r w:rsidRPr="005F5D7D">
        <w:rPr>
          <w:rFonts w:cstheme="minorHAnsi"/>
          <w:i/>
          <w:iCs/>
          <w:sz w:val="20"/>
          <w:szCs w:val="20"/>
          <w:lang w:val="en-US"/>
        </w:rPr>
        <w:t>Salmonella enterica</w:t>
      </w:r>
      <w:r w:rsidRPr="005F5D7D">
        <w:rPr>
          <w:rFonts w:cstheme="minorHAnsi"/>
          <w:sz w:val="20"/>
          <w:szCs w:val="20"/>
          <w:lang w:val="en-US"/>
        </w:rPr>
        <w:t xml:space="preserve"> serovar </w:t>
      </w:r>
      <w:r w:rsidRPr="005F5D7D">
        <w:rPr>
          <w:rFonts w:cstheme="minorHAnsi"/>
          <w:i/>
          <w:iCs/>
          <w:sz w:val="20"/>
          <w:szCs w:val="20"/>
          <w:lang w:val="en-US"/>
        </w:rPr>
        <w:t>typhi</w:t>
      </w:r>
      <w:r w:rsidRPr="005F5D7D">
        <w:rPr>
          <w:rFonts w:cstheme="minorHAnsi"/>
          <w:sz w:val="20"/>
          <w:szCs w:val="20"/>
          <w:lang w:val="en-US"/>
        </w:rPr>
        <w:t xml:space="preserve">. </w:t>
      </w:r>
      <w:r w:rsidRPr="005F5D7D">
        <w:rPr>
          <w:rFonts w:cstheme="minorHAnsi"/>
          <w:i/>
          <w:iCs/>
          <w:sz w:val="20"/>
          <w:szCs w:val="20"/>
          <w:lang w:val="en-US"/>
        </w:rPr>
        <w:t>Infection Genetics Evolution</w:t>
      </w:r>
      <w:r w:rsidRPr="005F5D7D">
        <w:rPr>
          <w:rFonts w:cstheme="minorHAnsi"/>
          <w:sz w:val="20"/>
          <w:szCs w:val="20"/>
          <w:lang w:val="en-US"/>
        </w:rPr>
        <w:t>. 33, 131-142.</w:t>
      </w:r>
    </w:p>
    <w:p w:rsidR="0021063D" w:rsidRPr="005F5D7D" w:rsidRDefault="0021063D" w:rsidP="005F5D7D">
      <w:pPr>
        <w:pStyle w:val="Paragraphedeliste"/>
        <w:numPr>
          <w:ilvl w:val="0"/>
          <w:numId w:val="9"/>
        </w:numPr>
        <w:jc w:val="both"/>
        <w:rPr>
          <w:rFonts w:cstheme="minorHAnsi"/>
          <w:b/>
          <w:bCs/>
          <w:sz w:val="20"/>
          <w:szCs w:val="20"/>
          <w:lang w:val="en-US"/>
        </w:rPr>
      </w:pPr>
      <w:r w:rsidRPr="005F5D7D">
        <w:rPr>
          <w:rFonts w:cstheme="minorHAnsi"/>
          <w:sz w:val="20"/>
          <w:szCs w:val="20"/>
          <w:lang w:val="en-US"/>
        </w:rPr>
        <w:t xml:space="preserve">Winter S.E, Winter M.G, Atluri V, Poon V, Romao, E.L, Tsolis R.M and Bäumler A. (2015). The Flagellar Regulator TviA Reduces Pyroptosis by </w:t>
      </w:r>
      <w:r w:rsidRPr="005F5D7D">
        <w:rPr>
          <w:rFonts w:cstheme="minorHAnsi"/>
          <w:i/>
          <w:iCs/>
          <w:sz w:val="20"/>
          <w:szCs w:val="20"/>
          <w:lang w:val="en-US"/>
        </w:rPr>
        <w:t>Salmonella enterica</w:t>
      </w:r>
      <w:r w:rsidRPr="005F5D7D">
        <w:rPr>
          <w:rFonts w:cstheme="minorHAnsi"/>
          <w:sz w:val="20"/>
          <w:szCs w:val="20"/>
          <w:lang w:val="en-US"/>
        </w:rPr>
        <w:t xml:space="preserve"> Serovar </w:t>
      </w:r>
      <w:r w:rsidRPr="005F5D7D">
        <w:rPr>
          <w:rFonts w:cstheme="minorHAnsi"/>
          <w:i/>
          <w:iCs/>
          <w:sz w:val="20"/>
          <w:szCs w:val="20"/>
          <w:lang w:val="en-US"/>
        </w:rPr>
        <w:t>typhi</w:t>
      </w:r>
      <w:r w:rsidRPr="005F5D7D">
        <w:rPr>
          <w:rFonts w:cstheme="minorHAnsi"/>
          <w:sz w:val="20"/>
          <w:szCs w:val="20"/>
          <w:lang w:val="en-US"/>
        </w:rPr>
        <w:t>.</w:t>
      </w:r>
      <w:r w:rsidRPr="005F5D7D">
        <w:rPr>
          <w:rFonts w:cstheme="minorHAnsi"/>
          <w:i/>
          <w:iCs/>
          <w:sz w:val="20"/>
          <w:szCs w:val="20"/>
          <w:lang w:val="en-US"/>
        </w:rPr>
        <w:t xml:space="preserve"> Infection and Immunity</w:t>
      </w:r>
      <w:r w:rsidRPr="005F5D7D">
        <w:rPr>
          <w:rFonts w:cstheme="minorHAnsi"/>
          <w:sz w:val="20"/>
          <w:szCs w:val="20"/>
          <w:lang w:val="en-US"/>
        </w:rPr>
        <w:t xml:space="preserve"> 83, 1546-1555.</w:t>
      </w:r>
    </w:p>
    <w:p w:rsidR="0021063D" w:rsidRPr="005F5D7D" w:rsidRDefault="0021063D" w:rsidP="005F5D7D">
      <w:pPr>
        <w:pStyle w:val="Paragraphedeliste"/>
        <w:numPr>
          <w:ilvl w:val="0"/>
          <w:numId w:val="9"/>
        </w:numPr>
        <w:jc w:val="both"/>
        <w:rPr>
          <w:rFonts w:cstheme="minorHAnsi"/>
          <w:b/>
          <w:bCs/>
          <w:sz w:val="20"/>
          <w:szCs w:val="20"/>
          <w:lang w:val="en-US"/>
        </w:rPr>
      </w:pPr>
      <w:r w:rsidRPr="005F5D7D">
        <w:rPr>
          <w:rFonts w:cstheme="minorHAnsi"/>
          <w:sz w:val="20"/>
          <w:szCs w:val="20"/>
          <w:lang w:val="en-US"/>
        </w:rPr>
        <w:t xml:space="preserve">Wotzka S.Y, Nguyen B.D and Hardt W.D. (2017). </w:t>
      </w:r>
      <w:r w:rsidRPr="005F5D7D">
        <w:rPr>
          <w:rFonts w:cstheme="minorHAnsi"/>
          <w:i/>
          <w:iCs/>
          <w:sz w:val="20"/>
          <w:szCs w:val="20"/>
          <w:lang w:val="en-US"/>
        </w:rPr>
        <w:t>Salmonella</w:t>
      </w:r>
      <w:r w:rsidRPr="005F5D7D">
        <w:rPr>
          <w:rFonts w:cstheme="minorHAnsi"/>
          <w:sz w:val="20"/>
          <w:szCs w:val="20"/>
          <w:lang w:val="en-US"/>
        </w:rPr>
        <w:t xml:space="preserve"> typhimurium diarrhea reveals basic principles of enteropathogen infection and disease-performed DNA exchage. 21, 443-454.</w:t>
      </w:r>
    </w:p>
    <w:p w:rsidR="0021063D" w:rsidRPr="005F5D7D" w:rsidRDefault="0021063D" w:rsidP="005F5D7D">
      <w:pPr>
        <w:pStyle w:val="Paragraphedeliste"/>
        <w:numPr>
          <w:ilvl w:val="0"/>
          <w:numId w:val="9"/>
        </w:numPr>
        <w:jc w:val="both"/>
        <w:rPr>
          <w:rFonts w:cstheme="minorHAnsi"/>
          <w:b/>
          <w:bCs/>
          <w:sz w:val="20"/>
          <w:szCs w:val="20"/>
          <w:lang w:val="en-US"/>
        </w:rPr>
      </w:pPr>
      <w:r w:rsidRPr="005F5D7D">
        <w:rPr>
          <w:rFonts w:cstheme="minorHAnsi"/>
          <w:sz w:val="20"/>
          <w:szCs w:val="20"/>
          <w:lang w:val="en-US"/>
        </w:rPr>
        <w:lastRenderedPageBreak/>
        <w:t xml:space="preserve">Xiao X, </w:t>
      </w:r>
      <w:r w:rsidR="00E55DF4" w:rsidRPr="005F5D7D">
        <w:rPr>
          <w:rFonts w:cstheme="minorHAnsi"/>
          <w:sz w:val="20"/>
          <w:szCs w:val="20"/>
          <w:lang w:val="en-US"/>
        </w:rPr>
        <w:t>Sankarayanan K</w:t>
      </w:r>
      <w:r w:rsidRPr="005F5D7D">
        <w:rPr>
          <w:rFonts w:cstheme="minorHAnsi"/>
          <w:sz w:val="20"/>
          <w:szCs w:val="20"/>
          <w:lang w:val="en-US"/>
        </w:rPr>
        <w:t xml:space="preserve">, and Khosla C. (2017). Biosynthesis and structure-activity relationships of lipid a family of glycolipids. </w:t>
      </w:r>
      <w:r w:rsidRPr="005F5D7D">
        <w:rPr>
          <w:rFonts w:cstheme="minorHAnsi"/>
          <w:i/>
          <w:iCs/>
          <w:sz w:val="20"/>
          <w:szCs w:val="20"/>
          <w:lang w:val="en-US"/>
        </w:rPr>
        <w:t>Current Opinion in Chemical Biology</w:t>
      </w:r>
      <w:r w:rsidRPr="005F5D7D">
        <w:rPr>
          <w:rFonts w:cstheme="minorHAnsi"/>
          <w:sz w:val="20"/>
          <w:szCs w:val="20"/>
          <w:lang w:val="en-US"/>
        </w:rPr>
        <w:t xml:space="preserve">. 40, 127-137. </w:t>
      </w:r>
    </w:p>
    <w:p w:rsidR="0021063D" w:rsidRPr="005F5D7D" w:rsidRDefault="0021063D" w:rsidP="005F5D7D">
      <w:pPr>
        <w:pStyle w:val="Paragraphedeliste"/>
        <w:numPr>
          <w:ilvl w:val="0"/>
          <w:numId w:val="9"/>
        </w:numPr>
        <w:jc w:val="both"/>
        <w:rPr>
          <w:rFonts w:cstheme="minorHAnsi"/>
          <w:b/>
          <w:bCs/>
          <w:sz w:val="20"/>
          <w:szCs w:val="20"/>
          <w:lang w:val="en-US"/>
        </w:rPr>
      </w:pPr>
      <w:r w:rsidRPr="005F5D7D">
        <w:rPr>
          <w:rFonts w:cstheme="minorHAnsi"/>
          <w:sz w:val="20"/>
          <w:szCs w:val="20"/>
          <w:lang w:val="en-US"/>
        </w:rPr>
        <w:t>Zhan</w:t>
      </w:r>
      <w:r w:rsidR="00B7408B" w:rsidRPr="005F5D7D">
        <w:rPr>
          <w:rFonts w:cstheme="minorHAnsi"/>
          <w:sz w:val="20"/>
          <w:szCs w:val="20"/>
          <w:lang w:val="en-US"/>
        </w:rPr>
        <w:t xml:space="preserve"> R, Han Q, Zhang C, Tian</w:t>
      </w:r>
      <w:r w:rsidRPr="005F5D7D">
        <w:rPr>
          <w:rFonts w:cstheme="minorHAnsi"/>
          <w:sz w:val="20"/>
          <w:szCs w:val="20"/>
          <w:lang w:val="en-US"/>
        </w:rPr>
        <w:t xml:space="preserve"> Z and Zhang J. (2015). TLR2 and TLR9 play opposing roles in host innate immunity against </w:t>
      </w:r>
      <w:r w:rsidRPr="005F5D7D">
        <w:rPr>
          <w:rFonts w:cstheme="minorHAnsi"/>
          <w:i/>
          <w:iCs/>
          <w:sz w:val="20"/>
          <w:szCs w:val="20"/>
          <w:lang w:val="en-US"/>
        </w:rPr>
        <w:t>Salmonella enterica</w:t>
      </w:r>
      <w:r w:rsidRPr="005F5D7D">
        <w:rPr>
          <w:rFonts w:cstheme="minorHAnsi"/>
          <w:sz w:val="20"/>
          <w:szCs w:val="20"/>
          <w:lang w:val="en-US"/>
        </w:rPr>
        <w:t xml:space="preserve"> serovar </w:t>
      </w:r>
      <w:r w:rsidRPr="005F5D7D">
        <w:rPr>
          <w:rFonts w:cstheme="minorHAnsi"/>
          <w:i/>
          <w:iCs/>
          <w:sz w:val="20"/>
          <w:szCs w:val="20"/>
          <w:lang w:val="en-US"/>
        </w:rPr>
        <w:t>typhimurium</w:t>
      </w:r>
      <w:r w:rsidRPr="005F5D7D">
        <w:rPr>
          <w:rFonts w:cstheme="minorHAnsi"/>
          <w:sz w:val="20"/>
          <w:szCs w:val="20"/>
          <w:lang w:val="en-US"/>
        </w:rPr>
        <w:t xml:space="preserve"> infection.</w:t>
      </w:r>
      <w:r w:rsidRPr="005F5D7D">
        <w:rPr>
          <w:rFonts w:cstheme="minorHAnsi"/>
          <w:i/>
          <w:iCs/>
          <w:sz w:val="20"/>
          <w:szCs w:val="20"/>
          <w:lang w:val="en-US"/>
        </w:rPr>
        <w:t xml:space="preserve"> Infection and Immunity</w:t>
      </w:r>
      <w:r w:rsidRPr="005F5D7D">
        <w:rPr>
          <w:rFonts w:cstheme="minorHAnsi"/>
          <w:sz w:val="20"/>
          <w:szCs w:val="20"/>
          <w:lang w:val="en-US"/>
        </w:rPr>
        <w:t>. 83, 1641-1649.</w:t>
      </w:r>
    </w:p>
    <w:p w:rsidR="0021063D" w:rsidRPr="005F5D7D" w:rsidRDefault="0021063D" w:rsidP="007026C9">
      <w:pPr>
        <w:pStyle w:val="Paragraphedeliste"/>
        <w:numPr>
          <w:ilvl w:val="0"/>
          <w:numId w:val="9"/>
        </w:numPr>
        <w:jc w:val="both"/>
        <w:rPr>
          <w:rFonts w:cstheme="minorHAnsi"/>
          <w:b/>
          <w:bCs/>
          <w:sz w:val="20"/>
          <w:szCs w:val="20"/>
          <w:lang w:val="en-US"/>
        </w:rPr>
      </w:pPr>
      <w:r w:rsidRPr="005F5D7D">
        <w:rPr>
          <w:rFonts w:cstheme="minorHAnsi"/>
          <w:sz w:val="20"/>
          <w:szCs w:val="20"/>
        </w:rPr>
        <w:t xml:space="preserve">Zhang Y, Xia L, Lin L, Tang H, Osei-Adjeir G, Xu S, Zhang Yi,  Huang X. (2018). </w:t>
      </w:r>
      <w:r w:rsidRPr="005F5D7D">
        <w:rPr>
          <w:rFonts w:cstheme="minorHAnsi"/>
          <w:sz w:val="20"/>
          <w:szCs w:val="20"/>
          <w:lang w:val="en-US"/>
        </w:rPr>
        <w:t xml:space="preserve">Reciprocal regulation of OMPR and Hfq and their regulation action of Vi polysaccharide capsular antigen in </w:t>
      </w:r>
      <w:r w:rsidRPr="005F5D7D">
        <w:rPr>
          <w:rFonts w:cstheme="minorHAnsi"/>
          <w:i/>
          <w:iCs/>
          <w:sz w:val="20"/>
          <w:szCs w:val="20"/>
          <w:lang w:val="en-US"/>
        </w:rPr>
        <w:t>salmonella enterica</w:t>
      </w:r>
      <w:r w:rsidRPr="005F5D7D">
        <w:rPr>
          <w:rFonts w:cstheme="minorHAnsi"/>
          <w:sz w:val="20"/>
          <w:szCs w:val="20"/>
          <w:lang w:val="en-US"/>
        </w:rPr>
        <w:t xml:space="preserve">. </w:t>
      </w:r>
      <w:r w:rsidR="00B7408B" w:rsidRPr="005F5D7D">
        <w:rPr>
          <w:rFonts w:cstheme="minorHAnsi"/>
          <w:i/>
          <w:iCs/>
          <w:sz w:val="20"/>
          <w:szCs w:val="20"/>
          <w:lang w:val="en-US"/>
        </w:rPr>
        <w:t>Current M</w:t>
      </w:r>
      <w:r w:rsidRPr="005F5D7D">
        <w:rPr>
          <w:rFonts w:cstheme="minorHAnsi"/>
          <w:i/>
          <w:iCs/>
          <w:sz w:val="20"/>
          <w:szCs w:val="20"/>
          <w:lang w:val="en-US"/>
        </w:rPr>
        <w:t>icrobiology</w:t>
      </w:r>
      <w:r w:rsidRPr="005F5D7D">
        <w:rPr>
          <w:rFonts w:cstheme="minorHAnsi"/>
          <w:sz w:val="20"/>
          <w:szCs w:val="20"/>
          <w:lang w:val="en-US"/>
        </w:rPr>
        <w:t xml:space="preserve">. </w:t>
      </w:r>
      <w:r w:rsidR="007026C9">
        <w:rPr>
          <w:rFonts w:ascii="Arial" w:hAnsi="Arial" w:cs="Arial"/>
          <w:color w:val="000000"/>
          <w:sz w:val="12"/>
          <w:szCs w:val="12"/>
          <w:shd w:val="clear" w:color="auto" w:fill="FFFFFF"/>
        </w:rPr>
        <w:t> </w:t>
      </w:r>
      <w:r w:rsidR="007026C9" w:rsidRPr="007026C9">
        <w:rPr>
          <w:sz w:val="20"/>
          <w:szCs w:val="20"/>
        </w:rPr>
        <w:t>doi: 10.1007/s00284-018-1447-7.</w:t>
      </w:r>
    </w:p>
    <w:p w:rsidR="0021063D" w:rsidRPr="005F5D7D" w:rsidRDefault="0021063D" w:rsidP="005F5D7D">
      <w:pPr>
        <w:pStyle w:val="Paragraphedeliste"/>
        <w:numPr>
          <w:ilvl w:val="0"/>
          <w:numId w:val="9"/>
        </w:numPr>
        <w:jc w:val="both"/>
        <w:rPr>
          <w:rFonts w:cstheme="minorHAnsi"/>
          <w:b/>
          <w:bCs/>
          <w:sz w:val="20"/>
          <w:szCs w:val="20"/>
        </w:rPr>
      </w:pPr>
      <w:r w:rsidRPr="005F5D7D">
        <w:rPr>
          <w:rFonts w:cstheme="minorHAnsi"/>
          <w:sz w:val="20"/>
          <w:szCs w:val="20"/>
          <w:lang w:val="en-US"/>
        </w:rPr>
        <w:t xml:space="preserve">ZHAO W. (2014). Analysis of various aspects of Salmonella pathogenesis. </w:t>
      </w:r>
      <w:r w:rsidRPr="005F5D7D">
        <w:rPr>
          <w:rFonts w:cstheme="minorHAnsi"/>
          <w:sz w:val="20"/>
          <w:szCs w:val="20"/>
        </w:rPr>
        <w:t>159 pages. Thèse de doctorat, immunologie, faculté des sciences, Aix-Marseille université, Marseille, France.</w:t>
      </w:r>
    </w:p>
    <w:p w:rsidR="00DA3F05" w:rsidRPr="005F5D7D" w:rsidRDefault="00DA3F05" w:rsidP="005F5D7D">
      <w:pPr>
        <w:jc w:val="both"/>
        <w:rPr>
          <w:rFonts w:cstheme="minorHAnsi"/>
          <w:sz w:val="20"/>
          <w:szCs w:val="20"/>
        </w:rPr>
      </w:pPr>
    </w:p>
    <w:p w:rsidR="00DA3F05" w:rsidRPr="005F5D7D" w:rsidRDefault="00DA3F05" w:rsidP="005F5D7D">
      <w:pPr>
        <w:jc w:val="both"/>
        <w:rPr>
          <w:rFonts w:cstheme="minorHAnsi"/>
          <w:sz w:val="20"/>
          <w:szCs w:val="20"/>
        </w:rPr>
      </w:pPr>
    </w:p>
    <w:p w:rsidR="00DA3F05" w:rsidRPr="005F5D7D" w:rsidRDefault="00DA3F05" w:rsidP="005F5D7D">
      <w:pPr>
        <w:jc w:val="both"/>
        <w:rPr>
          <w:rFonts w:cstheme="minorHAnsi"/>
          <w:sz w:val="20"/>
          <w:szCs w:val="20"/>
        </w:rPr>
      </w:pPr>
    </w:p>
    <w:p w:rsidR="00DA3F05" w:rsidRPr="005F5D7D" w:rsidRDefault="00DA3F05" w:rsidP="005F5D7D">
      <w:pPr>
        <w:jc w:val="both"/>
        <w:rPr>
          <w:rFonts w:cstheme="minorHAnsi"/>
          <w:sz w:val="20"/>
          <w:szCs w:val="20"/>
        </w:rPr>
      </w:pPr>
    </w:p>
    <w:sectPr w:rsidR="00DA3F05" w:rsidRPr="005F5D7D" w:rsidSect="00931030">
      <w:type w:val="continuous"/>
      <w:pgSz w:w="11906" w:h="16838"/>
      <w:pgMar w:top="1417" w:right="1417" w:bottom="1417" w:left="1417" w:header="708" w:footer="708" w:gutter="0"/>
      <w:cols w:num="2"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70C7" w:rsidRPr="00DD4B7C" w:rsidRDefault="002C70C7" w:rsidP="00DD4B7C">
      <w:pPr>
        <w:spacing w:line="240" w:lineRule="auto"/>
      </w:pPr>
      <w:r>
        <w:separator/>
      </w:r>
    </w:p>
  </w:endnote>
  <w:endnote w:type="continuationSeparator" w:id="1">
    <w:p w:rsidR="002C70C7" w:rsidRPr="00DD4B7C" w:rsidRDefault="002C70C7" w:rsidP="00DD4B7C">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70C7" w:rsidRPr="00DD4B7C" w:rsidRDefault="002C70C7" w:rsidP="00DD4B7C">
      <w:pPr>
        <w:spacing w:line="240" w:lineRule="auto"/>
      </w:pPr>
      <w:r>
        <w:separator/>
      </w:r>
    </w:p>
  </w:footnote>
  <w:footnote w:type="continuationSeparator" w:id="1">
    <w:p w:rsidR="002C70C7" w:rsidRPr="00DD4B7C" w:rsidRDefault="002C70C7" w:rsidP="00DD4B7C">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166398"/>
    <w:multiLevelType w:val="hybridMultilevel"/>
    <w:tmpl w:val="0E3443A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15842A50"/>
    <w:multiLevelType w:val="hybridMultilevel"/>
    <w:tmpl w:val="0CD6E98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28FC0CDF"/>
    <w:multiLevelType w:val="hybridMultilevel"/>
    <w:tmpl w:val="6A723914"/>
    <w:lvl w:ilvl="0" w:tplc="040C000F">
      <w:start w:val="1"/>
      <w:numFmt w:val="decimal"/>
      <w:lvlText w:val="%1."/>
      <w:lvlJc w:val="left"/>
      <w:pPr>
        <w:ind w:left="786" w:hanging="360"/>
      </w:pPr>
      <w:rPr>
        <w:rFonts w:hint="default"/>
        <w:b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33017D7D"/>
    <w:multiLevelType w:val="hybridMultilevel"/>
    <w:tmpl w:val="FCB6631C"/>
    <w:lvl w:ilvl="0" w:tplc="040C0009">
      <w:start w:val="1"/>
      <w:numFmt w:val="bullet"/>
      <w:lvlText w:val=""/>
      <w:lvlJc w:val="left"/>
      <w:pPr>
        <w:ind w:left="720" w:hanging="360"/>
      </w:pPr>
      <w:rPr>
        <w:rFonts w:ascii="Wingdings" w:hAnsi="Wingding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39BF1818"/>
    <w:multiLevelType w:val="hybridMultilevel"/>
    <w:tmpl w:val="2130859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3A910CEC"/>
    <w:multiLevelType w:val="hybridMultilevel"/>
    <w:tmpl w:val="B704AB0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50411F17"/>
    <w:multiLevelType w:val="hybridMultilevel"/>
    <w:tmpl w:val="C5861E7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5B5E759A"/>
    <w:multiLevelType w:val="hybridMultilevel"/>
    <w:tmpl w:val="DDC6740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692454A5"/>
    <w:multiLevelType w:val="hybridMultilevel"/>
    <w:tmpl w:val="08AACA2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
  </w:num>
  <w:num w:numId="2">
    <w:abstractNumId w:val="5"/>
  </w:num>
  <w:num w:numId="3">
    <w:abstractNumId w:val="3"/>
  </w:num>
  <w:num w:numId="4">
    <w:abstractNumId w:val="8"/>
  </w:num>
  <w:num w:numId="5">
    <w:abstractNumId w:val="7"/>
  </w:num>
  <w:num w:numId="6">
    <w:abstractNumId w:val="6"/>
  </w:num>
  <w:num w:numId="7">
    <w:abstractNumId w:val="4"/>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38"/>
  <w:defaultTabStop w:val="708"/>
  <w:hyphenationZone w:val="425"/>
  <w:characterSpacingControl w:val="doNotCompress"/>
  <w:footnotePr>
    <w:footnote w:id="0"/>
    <w:footnote w:id="1"/>
  </w:footnotePr>
  <w:endnotePr>
    <w:endnote w:id="0"/>
    <w:endnote w:id="1"/>
  </w:endnotePr>
  <w:compat/>
  <w:rsids>
    <w:rsidRoot w:val="00FA44BF"/>
    <w:rsid w:val="00010342"/>
    <w:rsid w:val="00010378"/>
    <w:rsid w:val="00012BDC"/>
    <w:rsid w:val="000605E9"/>
    <w:rsid w:val="000731AA"/>
    <w:rsid w:val="00075628"/>
    <w:rsid w:val="00082FC5"/>
    <w:rsid w:val="00095F3A"/>
    <w:rsid w:val="000C652E"/>
    <w:rsid w:val="000C7688"/>
    <w:rsid w:val="000E794A"/>
    <w:rsid w:val="000F4ABD"/>
    <w:rsid w:val="000F5E4B"/>
    <w:rsid w:val="00110BC1"/>
    <w:rsid w:val="00127450"/>
    <w:rsid w:val="00133246"/>
    <w:rsid w:val="0014064D"/>
    <w:rsid w:val="00152F47"/>
    <w:rsid w:val="00153F1E"/>
    <w:rsid w:val="00164B3A"/>
    <w:rsid w:val="00166221"/>
    <w:rsid w:val="00185BBC"/>
    <w:rsid w:val="00186A82"/>
    <w:rsid w:val="00193DE7"/>
    <w:rsid w:val="001A0D9B"/>
    <w:rsid w:val="001A5B06"/>
    <w:rsid w:val="001C0177"/>
    <w:rsid w:val="001C2FF1"/>
    <w:rsid w:val="001C3E04"/>
    <w:rsid w:val="001C77A7"/>
    <w:rsid w:val="001D13BC"/>
    <w:rsid w:val="001D1627"/>
    <w:rsid w:val="001D7AD1"/>
    <w:rsid w:val="001E60FE"/>
    <w:rsid w:val="001F3E87"/>
    <w:rsid w:val="0021063D"/>
    <w:rsid w:val="002341EA"/>
    <w:rsid w:val="00243818"/>
    <w:rsid w:val="00247E7C"/>
    <w:rsid w:val="002647A6"/>
    <w:rsid w:val="0029137D"/>
    <w:rsid w:val="002926EC"/>
    <w:rsid w:val="00292A35"/>
    <w:rsid w:val="002A6083"/>
    <w:rsid w:val="002B2BB0"/>
    <w:rsid w:val="002C0E73"/>
    <w:rsid w:val="002C49A6"/>
    <w:rsid w:val="002C70C7"/>
    <w:rsid w:val="002D7EE7"/>
    <w:rsid w:val="002F475F"/>
    <w:rsid w:val="002F5850"/>
    <w:rsid w:val="00330148"/>
    <w:rsid w:val="003466C6"/>
    <w:rsid w:val="00363620"/>
    <w:rsid w:val="003925B6"/>
    <w:rsid w:val="003A7616"/>
    <w:rsid w:val="003D06FF"/>
    <w:rsid w:val="00415FF1"/>
    <w:rsid w:val="00436EB0"/>
    <w:rsid w:val="004552C3"/>
    <w:rsid w:val="00481C41"/>
    <w:rsid w:val="00484730"/>
    <w:rsid w:val="004A13B7"/>
    <w:rsid w:val="004A56A4"/>
    <w:rsid w:val="004A6EB2"/>
    <w:rsid w:val="004C3025"/>
    <w:rsid w:val="00502B72"/>
    <w:rsid w:val="0051272A"/>
    <w:rsid w:val="0052058E"/>
    <w:rsid w:val="0052454E"/>
    <w:rsid w:val="00531BAA"/>
    <w:rsid w:val="00535461"/>
    <w:rsid w:val="00541D31"/>
    <w:rsid w:val="00543595"/>
    <w:rsid w:val="00566A3B"/>
    <w:rsid w:val="00567AED"/>
    <w:rsid w:val="00571624"/>
    <w:rsid w:val="00572CDF"/>
    <w:rsid w:val="00595AFE"/>
    <w:rsid w:val="005A076F"/>
    <w:rsid w:val="005A518E"/>
    <w:rsid w:val="005B23DF"/>
    <w:rsid w:val="005C6E3C"/>
    <w:rsid w:val="005D3F4E"/>
    <w:rsid w:val="005E67F2"/>
    <w:rsid w:val="005F5D7D"/>
    <w:rsid w:val="0060794D"/>
    <w:rsid w:val="0061627B"/>
    <w:rsid w:val="00623DAA"/>
    <w:rsid w:val="00624926"/>
    <w:rsid w:val="00626AFF"/>
    <w:rsid w:val="006360B1"/>
    <w:rsid w:val="006368A8"/>
    <w:rsid w:val="00642967"/>
    <w:rsid w:val="00647F08"/>
    <w:rsid w:val="00656F4A"/>
    <w:rsid w:val="00685828"/>
    <w:rsid w:val="00685AC8"/>
    <w:rsid w:val="006A3036"/>
    <w:rsid w:val="006F3599"/>
    <w:rsid w:val="006F77CB"/>
    <w:rsid w:val="00700417"/>
    <w:rsid w:val="007026C9"/>
    <w:rsid w:val="00703605"/>
    <w:rsid w:val="00714DB2"/>
    <w:rsid w:val="00715AE4"/>
    <w:rsid w:val="00716ED0"/>
    <w:rsid w:val="00722A64"/>
    <w:rsid w:val="00735A24"/>
    <w:rsid w:val="0074188A"/>
    <w:rsid w:val="00742289"/>
    <w:rsid w:val="00776BD5"/>
    <w:rsid w:val="007B3938"/>
    <w:rsid w:val="007C54C1"/>
    <w:rsid w:val="007C747D"/>
    <w:rsid w:val="007D5373"/>
    <w:rsid w:val="007E690F"/>
    <w:rsid w:val="007E6E63"/>
    <w:rsid w:val="007F51E4"/>
    <w:rsid w:val="00802135"/>
    <w:rsid w:val="00814D8E"/>
    <w:rsid w:val="0082360E"/>
    <w:rsid w:val="00827B6F"/>
    <w:rsid w:val="00834F2D"/>
    <w:rsid w:val="00844EAD"/>
    <w:rsid w:val="00856EB1"/>
    <w:rsid w:val="00862AEA"/>
    <w:rsid w:val="00863B5E"/>
    <w:rsid w:val="008742B7"/>
    <w:rsid w:val="00874F02"/>
    <w:rsid w:val="00881A61"/>
    <w:rsid w:val="008909E3"/>
    <w:rsid w:val="008A4795"/>
    <w:rsid w:val="008B6263"/>
    <w:rsid w:val="008C6889"/>
    <w:rsid w:val="008E6411"/>
    <w:rsid w:val="008F08BD"/>
    <w:rsid w:val="008F429A"/>
    <w:rsid w:val="00900695"/>
    <w:rsid w:val="009014B9"/>
    <w:rsid w:val="0092399C"/>
    <w:rsid w:val="00931030"/>
    <w:rsid w:val="00934B87"/>
    <w:rsid w:val="00937F74"/>
    <w:rsid w:val="00945775"/>
    <w:rsid w:val="00950E38"/>
    <w:rsid w:val="00952D73"/>
    <w:rsid w:val="00954A5D"/>
    <w:rsid w:val="00954FEE"/>
    <w:rsid w:val="00957A65"/>
    <w:rsid w:val="00986DAD"/>
    <w:rsid w:val="009928EB"/>
    <w:rsid w:val="009B65F6"/>
    <w:rsid w:val="009C483E"/>
    <w:rsid w:val="009C7073"/>
    <w:rsid w:val="009F391C"/>
    <w:rsid w:val="00A07FEB"/>
    <w:rsid w:val="00A31336"/>
    <w:rsid w:val="00A316B1"/>
    <w:rsid w:val="00A61922"/>
    <w:rsid w:val="00A62603"/>
    <w:rsid w:val="00A62848"/>
    <w:rsid w:val="00A67A16"/>
    <w:rsid w:val="00A706E2"/>
    <w:rsid w:val="00A81359"/>
    <w:rsid w:val="00A82C63"/>
    <w:rsid w:val="00A8657C"/>
    <w:rsid w:val="00AA2C02"/>
    <w:rsid w:val="00AA3360"/>
    <w:rsid w:val="00AB2266"/>
    <w:rsid w:val="00AD13FF"/>
    <w:rsid w:val="00AE06E2"/>
    <w:rsid w:val="00AE2AB9"/>
    <w:rsid w:val="00AF159F"/>
    <w:rsid w:val="00AF78A6"/>
    <w:rsid w:val="00B02923"/>
    <w:rsid w:val="00B179B4"/>
    <w:rsid w:val="00B47073"/>
    <w:rsid w:val="00B47F0B"/>
    <w:rsid w:val="00B65064"/>
    <w:rsid w:val="00B70779"/>
    <w:rsid w:val="00B7408B"/>
    <w:rsid w:val="00B74994"/>
    <w:rsid w:val="00B869B9"/>
    <w:rsid w:val="00B9516A"/>
    <w:rsid w:val="00BC72BC"/>
    <w:rsid w:val="00BD678C"/>
    <w:rsid w:val="00BD7C48"/>
    <w:rsid w:val="00BE1B59"/>
    <w:rsid w:val="00BF305B"/>
    <w:rsid w:val="00C00DC6"/>
    <w:rsid w:val="00C14C8C"/>
    <w:rsid w:val="00C26972"/>
    <w:rsid w:val="00C362C4"/>
    <w:rsid w:val="00C45C68"/>
    <w:rsid w:val="00C601C9"/>
    <w:rsid w:val="00C7420E"/>
    <w:rsid w:val="00C8252B"/>
    <w:rsid w:val="00C90251"/>
    <w:rsid w:val="00C952C2"/>
    <w:rsid w:val="00CA124D"/>
    <w:rsid w:val="00CB6A77"/>
    <w:rsid w:val="00CC2450"/>
    <w:rsid w:val="00CD6010"/>
    <w:rsid w:val="00CE6F49"/>
    <w:rsid w:val="00CF406B"/>
    <w:rsid w:val="00D0678C"/>
    <w:rsid w:val="00D166AD"/>
    <w:rsid w:val="00D2686F"/>
    <w:rsid w:val="00D558FA"/>
    <w:rsid w:val="00D67661"/>
    <w:rsid w:val="00D830E0"/>
    <w:rsid w:val="00D83B20"/>
    <w:rsid w:val="00D83F58"/>
    <w:rsid w:val="00D856D3"/>
    <w:rsid w:val="00D86B15"/>
    <w:rsid w:val="00D937E9"/>
    <w:rsid w:val="00DA3F05"/>
    <w:rsid w:val="00DA4443"/>
    <w:rsid w:val="00DC1A4C"/>
    <w:rsid w:val="00DC2B60"/>
    <w:rsid w:val="00DC4FD8"/>
    <w:rsid w:val="00DD31C4"/>
    <w:rsid w:val="00DD4B7C"/>
    <w:rsid w:val="00DE52C2"/>
    <w:rsid w:val="00DF7D27"/>
    <w:rsid w:val="00E01C53"/>
    <w:rsid w:val="00E22447"/>
    <w:rsid w:val="00E22600"/>
    <w:rsid w:val="00E23701"/>
    <w:rsid w:val="00E40677"/>
    <w:rsid w:val="00E44F23"/>
    <w:rsid w:val="00E451D4"/>
    <w:rsid w:val="00E5169F"/>
    <w:rsid w:val="00E516B3"/>
    <w:rsid w:val="00E55DF4"/>
    <w:rsid w:val="00E65724"/>
    <w:rsid w:val="00E854A9"/>
    <w:rsid w:val="00E87C25"/>
    <w:rsid w:val="00E94E43"/>
    <w:rsid w:val="00EB21DC"/>
    <w:rsid w:val="00EB384C"/>
    <w:rsid w:val="00EE700F"/>
    <w:rsid w:val="00F13AF1"/>
    <w:rsid w:val="00F147AA"/>
    <w:rsid w:val="00F247F6"/>
    <w:rsid w:val="00F51143"/>
    <w:rsid w:val="00F51A7B"/>
    <w:rsid w:val="00F61F91"/>
    <w:rsid w:val="00F66953"/>
    <w:rsid w:val="00FA44BF"/>
    <w:rsid w:val="00FB5BB6"/>
    <w:rsid w:val="00FB60AE"/>
    <w:rsid w:val="00FC068B"/>
    <w:rsid w:val="00FC6CD4"/>
    <w:rsid w:val="00FF3913"/>
    <w:rsid w:val="00FF7DD1"/>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28EB"/>
  </w:style>
  <w:style w:type="paragraph" w:styleId="Titre1">
    <w:name w:val="heading 1"/>
    <w:basedOn w:val="Normal"/>
    <w:next w:val="Normal"/>
    <w:link w:val="Titre1Car"/>
    <w:uiPriority w:val="9"/>
    <w:qFormat/>
    <w:rsid w:val="00D86B1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844EA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844EAD"/>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DA3F05"/>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FA44BF"/>
    <w:pPr>
      <w:ind w:left="720"/>
      <w:contextualSpacing/>
    </w:pPr>
  </w:style>
  <w:style w:type="character" w:customStyle="1" w:styleId="Titre1Car">
    <w:name w:val="Titre 1 Car"/>
    <w:basedOn w:val="Policepardfaut"/>
    <w:link w:val="Titre1"/>
    <w:uiPriority w:val="9"/>
    <w:rsid w:val="00D86B15"/>
    <w:rPr>
      <w:rFonts w:asciiTheme="majorHAnsi" w:eastAsiaTheme="majorEastAsia" w:hAnsiTheme="majorHAnsi" w:cstheme="majorBidi"/>
      <w:b/>
      <w:bCs/>
      <w:color w:val="365F91" w:themeColor="accent1" w:themeShade="BF"/>
      <w:sz w:val="28"/>
      <w:szCs w:val="28"/>
    </w:rPr>
  </w:style>
  <w:style w:type="paragraph" w:styleId="Textedebulles">
    <w:name w:val="Balloon Text"/>
    <w:basedOn w:val="Normal"/>
    <w:link w:val="TextedebullesCar"/>
    <w:uiPriority w:val="99"/>
    <w:semiHidden/>
    <w:unhideWhenUsed/>
    <w:rsid w:val="00D86B15"/>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D86B15"/>
    <w:rPr>
      <w:rFonts w:ascii="Tahoma" w:hAnsi="Tahoma" w:cs="Tahoma"/>
      <w:sz w:val="16"/>
      <w:szCs w:val="16"/>
    </w:rPr>
  </w:style>
  <w:style w:type="paragraph" w:styleId="Notedebasdepage">
    <w:name w:val="footnote text"/>
    <w:basedOn w:val="Normal"/>
    <w:link w:val="NotedebasdepageCar"/>
    <w:uiPriority w:val="99"/>
    <w:semiHidden/>
    <w:unhideWhenUsed/>
    <w:rsid w:val="00DD4B7C"/>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DD4B7C"/>
    <w:rPr>
      <w:sz w:val="20"/>
      <w:szCs w:val="20"/>
    </w:rPr>
  </w:style>
  <w:style w:type="character" w:styleId="Appelnotedebasdep">
    <w:name w:val="footnote reference"/>
    <w:basedOn w:val="Policepardfaut"/>
    <w:uiPriority w:val="99"/>
    <w:semiHidden/>
    <w:unhideWhenUsed/>
    <w:rsid w:val="00DD4B7C"/>
    <w:rPr>
      <w:vertAlign w:val="superscript"/>
    </w:rPr>
  </w:style>
  <w:style w:type="paragraph" w:styleId="Explorateurdedocuments">
    <w:name w:val="Document Map"/>
    <w:basedOn w:val="Normal"/>
    <w:link w:val="ExplorateurdedocumentsCar"/>
    <w:uiPriority w:val="99"/>
    <w:semiHidden/>
    <w:unhideWhenUsed/>
    <w:rsid w:val="00DD4B7C"/>
    <w:pPr>
      <w:spacing w:after="0" w:line="240" w:lineRule="auto"/>
    </w:pPr>
    <w:rPr>
      <w:rFonts w:ascii="Tahoma" w:hAnsi="Tahoma" w:cs="Tahoma"/>
      <w:sz w:val="16"/>
      <w:szCs w:val="16"/>
    </w:rPr>
  </w:style>
  <w:style w:type="character" w:customStyle="1" w:styleId="ExplorateurdedocumentsCar">
    <w:name w:val="Explorateur de documents Car"/>
    <w:basedOn w:val="Policepardfaut"/>
    <w:link w:val="Explorateurdedocuments"/>
    <w:uiPriority w:val="99"/>
    <w:semiHidden/>
    <w:rsid w:val="00DD4B7C"/>
    <w:rPr>
      <w:rFonts w:ascii="Tahoma" w:hAnsi="Tahoma" w:cs="Tahoma"/>
      <w:sz w:val="16"/>
      <w:szCs w:val="16"/>
    </w:rPr>
  </w:style>
  <w:style w:type="character" w:styleId="Lienhypertexte">
    <w:name w:val="Hyperlink"/>
    <w:basedOn w:val="Policepardfaut"/>
    <w:uiPriority w:val="99"/>
    <w:unhideWhenUsed/>
    <w:rsid w:val="00C00DC6"/>
    <w:rPr>
      <w:color w:val="0000FF" w:themeColor="hyperlink"/>
      <w:u w:val="single"/>
    </w:rPr>
  </w:style>
  <w:style w:type="character" w:styleId="Accentuation">
    <w:name w:val="Emphasis"/>
    <w:basedOn w:val="Policepardfaut"/>
    <w:uiPriority w:val="20"/>
    <w:qFormat/>
    <w:rsid w:val="00CD6010"/>
    <w:rPr>
      <w:i/>
      <w:iCs/>
    </w:rPr>
  </w:style>
  <w:style w:type="character" w:customStyle="1" w:styleId="Titre2Car">
    <w:name w:val="Titre 2 Car"/>
    <w:basedOn w:val="Policepardfaut"/>
    <w:link w:val="Titre2"/>
    <w:uiPriority w:val="9"/>
    <w:rsid w:val="00844EAD"/>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844EAD"/>
    <w:rPr>
      <w:rFonts w:asciiTheme="majorHAnsi" w:eastAsiaTheme="majorEastAsia" w:hAnsiTheme="majorHAnsi" w:cstheme="majorBidi"/>
      <w:b/>
      <w:bCs/>
      <w:color w:val="4F81BD" w:themeColor="accent1"/>
    </w:rPr>
  </w:style>
  <w:style w:type="character" w:customStyle="1" w:styleId="Titre4Car">
    <w:name w:val="Titre 4 Car"/>
    <w:basedOn w:val="Policepardfaut"/>
    <w:link w:val="Titre4"/>
    <w:uiPriority w:val="9"/>
    <w:semiHidden/>
    <w:rsid w:val="00DA3F05"/>
    <w:rPr>
      <w:rFonts w:asciiTheme="majorHAnsi" w:eastAsiaTheme="majorEastAsia" w:hAnsiTheme="majorHAnsi" w:cstheme="majorBidi"/>
      <w:b/>
      <w:bCs/>
      <w:i/>
      <w:iCs/>
      <w:color w:val="4F81BD" w:themeColor="accent1"/>
    </w:rPr>
  </w:style>
  <w:style w:type="character" w:customStyle="1" w:styleId="absmetadatalabel">
    <w:name w:val="abs_metadata_label"/>
    <w:basedOn w:val="Policepardfaut"/>
    <w:rsid w:val="007026C9"/>
  </w:style>
</w:styles>
</file>

<file path=word/webSettings.xml><?xml version="1.0" encoding="utf-8"?>
<w:webSettings xmlns:r="http://schemas.openxmlformats.org/officeDocument/2006/relationships" xmlns:w="http://schemas.openxmlformats.org/wordprocessingml/2006/main">
  <w:divs>
    <w:div w:id="890262738">
      <w:bodyDiv w:val="1"/>
      <w:marLeft w:val="0"/>
      <w:marRight w:val="0"/>
      <w:marTop w:val="0"/>
      <w:marBottom w:val="0"/>
      <w:divBdr>
        <w:top w:val="none" w:sz="0" w:space="0" w:color="auto"/>
        <w:left w:val="none" w:sz="0" w:space="0" w:color="auto"/>
        <w:bottom w:val="none" w:sz="0" w:space="0" w:color="auto"/>
        <w:right w:val="none" w:sz="0" w:space="0" w:color="auto"/>
      </w:divBdr>
      <w:divsChild>
        <w:div w:id="1508668285">
          <w:marLeft w:val="0"/>
          <w:marRight w:val="0"/>
          <w:marTop w:val="120"/>
          <w:marBottom w:val="360"/>
          <w:divBdr>
            <w:top w:val="none" w:sz="0" w:space="0" w:color="auto"/>
            <w:left w:val="none" w:sz="0" w:space="0" w:color="auto"/>
            <w:bottom w:val="none" w:sz="0" w:space="0" w:color="auto"/>
            <w:right w:val="none" w:sz="0" w:space="0" w:color="auto"/>
          </w:divBdr>
          <w:divsChild>
            <w:div w:id="987824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637269">
      <w:bodyDiv w:val="1"/>
      <w:marLeft w:val="0"/>
      <w:marRight w:val="0"/>
      <w:marTop w:val="0"/>
      <w:marBottom w:val="0"/>
      <w:divBdr>
        <w:top w:val="none" w:sz="0" w:space="0" w:color="auto"/>
        <w:left w:val="none" w:sz="0" w:space="0" w:color="auto"/>
        <w:bottom w:val="none" w:sz="0" w:space="0" w:color="auto"/>
        <w:right w:val="none" w:sz="0" w:space="0" w:color="auto"/>
      </w:divBdr>
      <w:divsChild>
        <w:div w:id="1797524346">
          <w:marLeft w:val="0"/>
          <w:marRight w:val="0"/>
          <w:marTop w:val="120"/>
          <w:marBottom w:val="360"/>
          <w:divBdr>
            <w:top w:val="none" w:sz="0" w:space="0" w:color="auto"/>
            <w:left w:val="none" w:sz="0" w:space="0" w:color="auto"/>
            <w:bottom w:val="none" w:sz="0" w:space="0" w:color="auto"/>
            <w:right w:val="none" w:sz="0" w:space="0" w:color="auto"/>
          </w:divBdr>
          <w:divsChild>
            <w:div w:id="980771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955568">
      <w:bodyDiv w:val="1"/>
      <w:marLeft w:val="0"/>
      <w:marRight w:val="0"/>
      <w:marTop w:val="0"/>
      <w:marBottom w:val="0"/>
      <w:divBdr>
        <w:top w:val="none" w:sz="0" w:space="0" w:color="auto"/>
        <w:left w:val="none" w:sz="0" w:space="0" w:color="auto"/>
        <w:bottom w:val="none" w:sz="0" w:space="0" w:color="auto"/>
        <w:right w:val="none" w:sz="0" w:space="0" w:color="auto"/>
      </w:divBdr>
      <w:divsChild>
        <w:div w:id="299506957">
          <w:marLeft w:val="0"/>
          <w:marRight w:val="0"/>
          <w:marTop w:val="120"/>
          <w:marBottom w:val="360"/>
          <w:divBdr>
            <w:top w:val="none" w:sz="0" w:space="0" w:color="auto"/>
            <w:left w:val="none" w:sz="0" w:space="0" w:color="auto"/>
            <w:bottom w:val="none" w:sz="0" w:space="0" w:color="auto"/>
            <w:right w:val="none" w:sz="0" w:space="0" w:color="auto"/>
          </w:divBdr>
          <w:divsChild>
            <w:div w:id="2022972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micinf.2017.11.014"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que">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7AB65B-C053-4491-AC3B-6F917E6FB2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2109</TotalTime>
  <Pages>5</Pages>
  <Words>2684</Words>
  <Characters>14767</Characters>
  <Application>Microsoft Office Word</Application>
  <DocSecurity>0</DocSecurity>
  <Lines>123</Lines>
  <Paragraphs>34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157</cp:revision>
  <dcterms:created xsi:type="dcterms:W3CDTF">2018-02-12T18:24:00Z</dcterms:created>
  <dcterms:modified xsi:type="dcterms:W3CDTF">2018-04-15T14:17:00Z</dcterms:modified>
</cp:coreProperties>
</file>