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B74" w:rsidRPr="00E3046C" w:rsidRDefault="00250B74" w:rsidP="00250B74">
      <w:pPr>
        <w:widowControl w:val="0"/>
        <w:autoSpaceDE w:val="0"/>
        <w:autoSpaceDN w:val="0"/>
        <w:adjustRightInd w:val="0"/>
        <w:spacing w:after="240" w:line="280" w:lineRule="atLeast"/>
        <w:rPr>
          <w:rFonts w:ascii="Century Gothic" w:hAnsi="Century Gothic" w:cs="Times"/>
          <w:color w:val="000000"/>
          <w:sz w:val="28"/>
        </w:rPr>
      </w:pPr>
    </w:p>
    <w:p w:rsidR="00A67247" w:rsidRPr="00E3046C" w:rsidRDefault="00A67247" w:rsidP="00A67247">
      <w:pPr>
        <w:widowControl w:val="0"/>
        <w:autoSpaceDE w:val="0"/>
        <w:autoSpaceDN w:val="0"/>
        <w:adjustRightInd w:val="0"/>
        <w:spacing w:after="240" w:line="280" w:lineRule="atLeast"/>
        <w:jc w:val="center"/>
        <w:rPr>
          <w:rFonts w:ascii="Century Gothic" w:hAnsi="Century Gothic" w:cs="Times"/>
          <w:color w:val="000000"/>
          <w:sz w:val="44"/>
        </w:rPr>
      </w:pPr>
      <w:r w:rsidRPr="00E3046C">
        <w:rPr>
          <w:rFonts w:ascii="Century Gothic" w:hAnsi="Century Gothic" w:cs="Times"/>
          <w:b/>
          <w:color w:val="4F81BD" w:themeColor="accent1"/>
          <w:sz w:val="28"/>
        </w:rPr>
        <w:t>Title:</w:t>
      </w:r>
      <w:r w:rsidRPr="00E3046C">
        <w:rPr>
          <w:rFonts w:ascii="Century Gothic" w:hAnsi="Century Gothic" w:cs="Times"/>
          <w:color w:val="000000"/>
          <w:sz w:val="28"/>
        </w:rPr>
        <w:t xml:space="preserve"> </w:t>
      </w:r>
      <w:r w:rsidRPr="00E3046C">
        <w:rPr>
          <w:rFonts w:ascii="Century Gothic" w:hAnsi="Century Gothic" w:cs="Times"/>
          <w:color w:val="000000"/>
          <w:sz w:val="44"/>
        </w:rPr>
        <w:t>Regenerative Techniques For Soft Tissue Enhancement Around Implants</w:t>
      </w:r>
    </w:p>
    <w:p w:rsidR="00A67247" w:rsidRPr="00E3046C" w:rsidRDefault="00A67247" w:rsidP="00403A90">
      <w:pPr>
        <w:widowControl w:val="0"/>
        <w:autoSpaceDE w:val="0"/>
        <w:autoSpaceDN w:val="0"/>
        <w:adjustRightInd w:val="0"/>
        <w:spacing w:after="240" w:line="280" w:lineRule="atLeast"/>
        <w:rPr>
          <w:rFonts w:ascii="Century Gothic" w:hAnsi="Century Gothic" w:cs="Times"/>
          <w:color w:val="000000"/>
          <w:sz w:val="28"/>
        </w:rPr>
      </w:pPr>
    </w:p>
    <w:p w:rsidR="00403A90" w:rsidRPr="00E3046C" w:rsidRDefault="00A67247" w:rsidP="00403A90">
      <w:pPr>
        <w:widowControl w:val="0"/>
        <w:autoSpaceDE w:val="0"/>
        <w:autoSpaceDN w:val="0"/>
        <w:adjustRightInd w:val="0"/>
        <w:spacing w:after="240" w:line="280" w:lineRule="atLeast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b/>
          <w:color w:val="4F81BD" w:themeColor="accent1"/>
          <w:sz w:val="28"/>
        </w:rPr>
        <w:t>Synopsis:</w:t>
      </w:r>
      <w:r w:rsidRPr="00E3046C">
        <w:rPr>
          <w:rFonts w:ascii="Century Gothic" w:hAnsi="Century Gothic" w:cs="Times"/>
          <w:color w:val="000000"/>
          <w:sz w:val="28"/>
        </w:rPr>
        <w:t xml:space="preserve"> </w:t>
      </w:r>
      <w:r w:rsidR="00250B74" w:rsidRPr="00E3046C">
        <w:rPr>
          <w:rFonts w:ascii="Century Gothic" w:hAnsi="Century Gothic" w:cs="Times"/>
          <w:color w:val="000000"/>
          <w:sz w:val="28"/>
        </w:rPr>
        <w:t>Tooth replacement by means of dental implants is considered to be a predictable procedure in modern dentistry. I</w:t>
      </w:r>
      <w:r w:rsidR="00250B74" w:rsidRPr="00E3046C">
        <w:rPr>
          <w:rFonts w:ascii="Century Gothic" w:hAnsi="Century Gothic" w:cs="Times New Roman"/>
          <w:color w:val="000000"/>
          <w:sz w:val="28"/>
        </w:rPr>
        <w:t xml:space="preserve">t is through the process of osseointegration that the stability of the implant is secured. The maintenance of stability and function of the load carrying </w:t>
      </w:r>
      <w:r w:rsidRPr="00E3046C">
        <w:rPr>
          <w:rFonts w:ascii="Century Gothic" w:hAnsi="Century Gothic" w:cs="Times New Roman"/>
          <w:color w:val="000000"/>
          <w:sz w:val="28"/>
        </w:rPr>
        <w:t>implant</w:t>
      </w:r>
      <w:r w:rsidR="00250B74" w:rsidRPr="00E3046C">
        <w:rPr>
          <w:rFonts w:ascii="Century Gothic" w:hAnsi="Century Gothic" w:cs="Times New Roman"/>
          <w:color w:val="000000"/>
          <w:sz w:val="28"/>
        </w:rPr>
        <w:t xml:space="preserve"> </w:t>
      </w:r>
      <w:r w:rsidR="00250B74" w:rsidRPr="00E3046C">
        <w:rPr>
          <w:rFonts w:ascii="Century Gothic" w:hAnsi="Century Gothic" w:cs="Times New Roman"/>
          <w:color w:val="000000"/>
          <w:position w:val="2"/>
          <w:sz w:val="28"/>
        </w:rPr>
        <w:t xml:space="preserve">however, </w:t>
      </w:r>
      <w:r w:rsidR="00250B74" w:rsidRPr="00E3046C">
        <w:rPr>
          <w:rFonts w:ascii="Century Gothic" w:hAnsi="Century Gothic" w:cs="Times New Roman"/>
          <w:color w:val="000000"/>
          <w:sz w:val="28"/>
        </w:rPr>
        <w:t xml:space="preserve">is dependent on a well functioning barrier mechanism established at the transmucosal passage of the </w:t>
      </w:r>
      <w:r w:rsidR="00403A90" w:rsidRPr="00E3046C">
        <w:rPr>
          <w:rFonts w:ascii="Century Gothic" w:hAnsi="Century Gothic" w:cs="Times New Roman"/>
          <w:color w:val="000000"/>
          <w:sz w:val="28"/>
        </w:rPr>
        <w:t>implant</w:t>
      </w:r>
      <w:r w:rsidR="00403A90" w:rsidRPr="00E3046C">
        <w:rPr>
          <w:rFonts w:ascii="Century Gothic" w:hAnsi="Century Gothic" w:cs="Times"/>
          <w:color w:val="000000"/>
          <w:sz w:val="28"/>
        </w:rPr>
        <w:t>. The anatomic differences between the periodontal and the peri-implant tissues contribute to render more difficult the interpretation of the clinical outcomes. The factors to be considered in this regard are (</w:t>
      </w:r>
      <w:proofErr w:type="spellStart"/>
      <w:r w:rsidR="00403A90" w:rsidRPr="00E3046C">
        <w:rPr>
          <w:rFonts w:ascii="Century Gothic" w:hAnsi="Century Gothic" w:cs="Times"/>
          <w:color w:val="000000"/>
          <w:sz w:val="28"/>
        </w:rPr>
        <w:t>i</w:t>
      </w:r>
      <w:proofErr w:type="spellEnd"/>
      <w:r w:rsidR="00403A90" w:rsidRPr="00E3046C">
        <w:rPr>
          <w:rFonts w:ascii="Century Gothic" w:hAnsi="Century Gothic" w:cs="Times"/>
          <w:color w:val="000000"/>
          <w:sz w:val="28"/>
        </w:rPr>
        <w:t>) establishment and maintenance of biological health; (ii) prevention of recession; (iii) aesthetics; and (iv) cleansibility of the reconstruction</w:t>
      </w:r>
      <w:r w:rsidR="00E3046C">
        <w:rPr>
          <w:rFonts w:ascii="Century Gothic" w:hAnsi="Century Gothic" w:cs="Times"/>
          <w:color w:val="000000"/>
          <w:sz w:val="28"/>
        </w:rPr>
        <w:t>.</w:t>
      </w:r>
      <w:r w:rsidR="00403A90" w:rsidRPr="00E3046C">
        <w:rPr>
          <w:rFonts w:ascii="Century Gothic" w:hAnsi="Century Gothic" w:cs="Times"/>
          <w:color w:val="000000"/>
          <w:sz w:val="28"/>
        </w:rPr>
        <w:t xml:space="preserve"> </w:t>
      </w:r>
    </w:p>
    <w:p w:rsidR="00403A90" w:rsidRPr="00E3046C" w:rsidRDefault="00A67247" w:rsidP="00E3046C">
      <w:pPr>
        <w:widowControl w:val="0"/>
        <w:autoSpaceDE w:val="0"/>
        <w:autoSpaceDN w:val="0"/>
        <w:adjustRightInd w:val="0"/>
        <w:spacing w:after="240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b/>
          <w:color w:val="4F81BD" w:themeColor="accent1"/>
          <w:sz w:val="28"/>
        </w:rPr>
        <w:t>Objectives:</w:t>
      </w:r>
      <w:r w:rsidRPr="00E3046C">
        <w:rPr>
          <w:rFonts w:ascii="Century Gothic" w:hAnsi="Century Gothic" w:cs="Times"/>
          <w:color w:val="000000"/>
          <w:sz w:val="28"/>
        </w:rPr>
        <w:t xml:space="preserve"> </w:t>
      </w:r>
      <w:r w:rsidR="00403A90" w:rsidRPr="00E3046C">
        <w:rPr>
          <w:rFonts w:ascii="Century Gothic" w:hAnsi="Century Gothic" w:cs="Times"/>
          <w:color w:val="000000"/>
          <w:sz w:val="28"/>
        </w:rPr>
        <w:t xml:space="preserve">This presentation will demonstration the importance of the soft tissue complex around dental implants, as well as the different </w:t>
      </w:r>
      <w:r w:rsidRPr="00E3046C">
        <w:rPr>
          <w:rFonts w:ascii="Century Gothic" w:hAnsi="Century Gothic" w:cs="Times"/>
          <w:color w:val="000000"/>
          <w:sz w:val="28"/>
        </w:rPr>
        <w:t xml:space="preserve">surgical </w:t>
      </w:r>
      <w:r w:rsidR="00403A90" w:rsidRPr="00E3046C">
        <w:rPr>
          <w:rFonts w:ascii="Century Gothic" w:hAnsi="Century Gothic" w:cs="Times"/>
          <w:color w:val="000000"/>
          <w:sz w:val="28"/>
        </w:rPr>
        <w:t>techniques and time frame</w:t>
      </w:r>
      <w:r w:rsidRPr="00E3046C">
        <w:rPr>
          <w:rFonts w:ascii="Century Gothic" w:hAnsi="Century Gothic" w:cs="Times"/>
          <w:color w:val="000000"/>
          <w:sz w:val="28"/>
        </w:rPr>
        <w:t>s</w:t>
      </w:r>
      <w:r w:rsidR="00403A90" w:rsidRPr="00E3046C">
        <w:rPr>
          <w:rFonts w:ascii="Century Gothic" w:hAnsi="Century Gothic" w:cs="Times"/>
          <w:color w:val="000000"/>
          <w:sz w:val="28"/>
        </w:rPr>
        <w:t xml:space="preserve"> regarding </w:t>
      </w:r>
      <w:r w:rsidRPr="00E3046C">
        <w:rPr>
          <w:rFonts w:ascii="Century Gothic" w:hAnsi="Century Gothic" w:cs="Times"/>
          <w:color w:val="000000"/>
          <w:sz w:val="28"/>
        </w:rPr>
        <w:t xml:space="preserve">the </w:t>
      </w:r>
      <w:r w:rsidR="00403A90" w:rsidRPr="00E3046C">
        <w:rPr>
          <w:rFonts w:ascii="Century Gothic" w:hAnsi="Century Gothic" w:cs="Times"/>
          <w:color w:val="000000"/>
          <w:sz w:val="28"/>
        </w:rPr>
        <w:t>enhancement of the soft tissue barrier at the implant sites.</w:t>
      </w:r>
    </w:p>
    <w:p w:rsidR="00E3046C" w:rsidRPr="00E3046C" w:rsidRDefault="00E3046C" w:rsidP="00E3046C">
      <w:pPr>
        <w:widowControl w:val="0"/>
        <w:autoSpaceDE w:val="0"/>
        <w:autoSpaceDN w:val="0"/>
        <w:adjustRightInd w:val="0"/>
        <w:spacing w:after="240" w:line="280" w:lineRule="atLeast"/>
        <w:rPr>
          <w:rFonts w:ascii="Century Gothic" w:hAnsi="Century Gothic" w:cs="Times"/>
          <w:b/>
          <w:color w:val="4F81BD" w:themeColor="accent1"/>
          <w:sz w:val="28"/>
        </w:rPr>
      </w:pPr>
      <w:r w:rsidRPr="00E3046C">
        <w:rPr>
          <w:rFonts w:ascii="Century Gothic" w:hAnsi="Century Gothic" w:cs="Times"/>
          <w:b/>
          <w:color w:val="4F81BD" w:themeColor="accent1"/>
          <w:sz w:val="28"/>
        </w:rPr>
        <w:t>Short CV:</w:t>
      </w:r>
    </w:p>
    <w:p w:rsidR="00E3046C" w:rsidRPr="00E3046C" w:rsidRDefault="00E3046C" w:rsidP="00E304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color w:val="000000"/>
          <w:sz w:val="28"/>
        </w:rPr>
        <w:t>Navid Sharifzadeh, DDS, MS</w:t>
      </w:r>
    </w:p>
    <w:p w:rsidR="00E3046C" w:rsidRPr="00E3046C" w:rsidRDefault="00E3046C" w:rsidP="00E304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color w:val="000000"/>
          <w:sz w:val="28"/>
        </w:rPr>
        <w:t>Board Certified Periodontist, Implantologist, University of Southern California, USA</w:t>
      </w:r>
    </w:p>
    <w:p w:rsidR="00E3046C" w:rsidRPr="00E3046C" w:rsidRDefault="00E3046C" w:rsidP="00E304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color w:val="000000"/>
          <w:sz w:val="28"/>
        </w:rPr>
        <w:t>Master in Oral and Craniofacial Biology, University of Southern California, USA</w:t>
      </w:r>
    </w:p>
    <w:p w:rsidR="00E3046C" w:rsidRPr="00E3046C" w:rsidRDefault="00E3046C" w:rsidP="00E304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color w:val="000000"/>
          <w:sz w:val="28"/>
        </w:rPr>
        <w:t>Diplomate of the American Board of Periodontology and Dental implant Surgery</w:t>
      </w:r>
    </w:p>
    <w:p w:rsidR="00E3046C" w:rsidRPr="00E3046C" w:rsidRDefault="00E3046C" w:rsidP="00E304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color w:val="000000"/>
          <w:sz w:val="28"/>
        </w:rPr>
        <w:t>Visiting faculty, Department of Periodontology, Tehran University of Medical Sciences</w:t>
      </w:r>
    </w:p>
    <w:p w:rsidR="00250B74" w:rsidRDefault="00E3046C" w:rsidP="00250B74">
      <w:pPr>
        <w:widowControl w:val="0"/>
        <w:autoSpaceDE w:val="0"/>
        <w:autoSpaceDN w:val="0"/>
        <w:adjustRightInd w:val="0"/>
        <w:spacing w:after="240" w:line="280" w:lineRule="atLeast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b/>
          <w:color w:val="4F81BD" w:themeColor="accent1"/>
          <w:sz w:val="28"/>
        </w:rPr>
        <w:t>Audio/Visual requirements:</w:t>
      </w:r>
      <w:r>
        <w:rPr>
          <w:rFonts w:ascii="Century Gothic" w:hAnsi="Century Gothic" w:cs="Times"/>
          <w:color w:val="000000"/>
          <w:sz w:val="28"/>
        </w:rPr>
        <w:t xml:space="preserve"> Mac, Keynote, widescreen (</w:t>
      </w:r>
      <w:r w:rsidR="003234C3">
        <w:rPr>
          <w:rFonts w:ascii="Century Gothic" w:hAnsi="Century Gothic" w:cs="Times"/>
          <w:color w:val="000000"/>
          <w:sz w:val="28"/>
        </w:rPr>
        <w:t>3:1</w:t>
      </w:r>
      <w:bookmarkStart w:id="0" w:name="_GoBack"/>
      <w:bookmarkEnd w:id="0"/>
      <w:r>
        <w:rPr>
          <w:rFonts w:ascii="Century Gothic" w:hAnsi="Century Gothic" w:cs="Times"/>
          <w:color w:val="000000"/>
          <w:sz w:val="28"/>
        </w:rPr>
        <w:t>)</w:t>
      </w:r>
    </w:p>
    <w:p w:rsidR="00E3046C" w:rsidRPr="00E3046C" w:rsidRDefault="00E3046C" w:rsidP="00250B74">
      <w:pPr>
        <w:widowControl w:val="0"/>
        <w:autoSpaceDE w:val="0"/>
        <w:autoSpaceDN w:val="0"/>
        <w:adjustRightInd w:val="0"/>
        <w:spacing w:after="240" w:line="280" w:lineRule="atLeast"/>
        <w:rPr>
          <w:rFonts w:ascii="Century Gothic" w:hAnsi="Century Gothic" w:cs="Times"/>
          <w:color w:val="000000"/>
          <w:sz w:val="28"/>
        </w:rPr>
      </w:pPr>
      <w:r w:rsidRPr="00E3046C">
        <w:rPr>
          <w:rFonts w:ascii="Century Gothic" w:hAnsi="Century Gothic" w:cs="Times"/>
          <w:b/>
          <w:color w:val="4F81BD" w:themeColor="accent1"/>
          <w:sz w:val="28"/>
        </w:rPr>
        <w:t>Cellphone number:</w:t>
      </w:r>
      <w:r>
        <w:rPr>
          <w:rFonts w:ascii="Century Gothic" w:hAnsi="Century Gothic" w:cs="Times"/>
          <w:color w:val="000000"/>
          <w:sz w:val="28"/>
        </w:rPr>
        <w:t xml:space="preserve"> +1-310890-8095   +98-912-3076742</w:t>
      </w:r>
    </w:p>
    <w:p w:rsidR="00250B74" w:rsidRPr="00E3046C" w:rsidRDefault="00250B74" w:rsidP="00250B74">
      <w:pPr>
        <w:widowControl w:val="0"/>
        <w:autoSpaceDE w:val="0"/>
        <w:autoSpaceDN w:val="0"/>
        <w:adjustRightInd w:val="0"/>
        <w:spacing w:after="240" w:line="280" w:lineRule="atLeast"/>
        <w:rPr>
          <w:rFonts w:ascii="Century Gothic" w:hAnsi="Century Gothic" w:cs="Times"/>
          <w:color w:val="000000"/>
          <w:sz w:val="28"/>
        </w:rPr>
      </w:pPr>
    </w:p>
    <w:p w:rsidR="00250B74" w:rsidRPr="00E3046C" w:rsidRDefault="00250B74" w:rsidP="00250B74">
      <w:pPr>
        <w:widowControl w:val="0"/>
        <w:autoSpaceDE w:val="0"/>
        <w:autoSpaceDN w:val="0"/>
        <w:adjustRightInd w:val="0"/>
        <w:spacing w:after="240" w:line="320" w:lineRule="atLeast"/>
        <w:rPr>
          <w:rFonts w:ascii="Century Gothic" w:hAnsi="Century Gothic" w:cs="Times"/>
          <w:color w:val="000000"/>
          <w:sz w:val="28"/>
        </w:rPr>
      </w:pPr>
    </w:p>
    <w:p w:rsidR="00D50DCD" w:rsidRPr="00E3046C" w:rsidRDefault="00D50DCD" w:rsidP="00250B74">
      <w:pPr>
        <w:rPr>
          <w:rFonts w:ascii="Century Gothic" w:hAnsi="Century Gothic"/>
          <w:sz w:val="28"/>
        </w:rPr>
      </w:pPr>
    </w:p>
    <w:sectPr w:rsidR="00D50DCD" w:rsidRPr="00E3046C" w:rsidSect="00A67247">
      <w:pgSz w:w="12240" w:h="15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D36" w:rsidRDefault="001A1D36" w:rsidP="00250B74">
      <w:r>
        <w:separator/>
      </w:r>
    </w:p>
  </w:endnote>
  <w:endnote w:type="continuationSeparator" w:id="0">
    <w:p w:rsidR="001A1D36" w:rsidRDefault="001A1D36" w:rsidP="0025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D36" w:rsidRDefault="001A1D36" w:rsidP="00250B74">
      <w:r>
        <w:separator/>
      </w:r>
    </w:p>
  </w:footnote>
  <w:footnote w:type="continuationSeparator" w:id="0">
    <w:p w:rsidR="001A1D36" w:rsidRDefault="001A1D36" w:rsidP="00250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404E9"/>
    <w:multiLevelType w:val="hybridMultilevel"/>
    <w:tmpl w:val="325C4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0B74"/>
    <w:rsid w:val="001A1D36"/>
    <w:rsid w:val="00250B74"/>
    <w:rsid w:val="003234C3"/>
    <w:rsid w:val="00403A90"/>
    <w:rsid w:val="00A67247"/>
    <w:rsid w:val="00D50DCD"/>
    <w:rsid w:val="00E3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77E1B5"/>
  <w14:defaultImageDpi w14:val="300"/>
  <w15:docId w15:val="{61465DFD-2601-CB4C-B2AA-D9EB65AC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B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B74"/>
  </w:style>
  <w:style w:type="paragraph" w:styleId="Footer">
    <w:name w:val="footer"/>
    <w:basedOn w:val="Normal"/>
    <w:link w:val="FooterChar"/>
    <w:uiPriority w:val="99"/>
    <w:unhideWhenUsed/>
    <w:rsid w:val="00250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B74"/>
  </w:style>
  <w:style w:type="paragraph" w:styleId="BalloonText">
    <w:name w:val="Balloon Text"/>
    <w:basedOn w:val="Normal"/>
    <w:link w:val="BalloonTextChar"/>
    <w:uiPriority w:val="99"/>
    <w:semiHidden/>
    <w:unhideWhenUsed/>
    <w:rsid w:val="00250B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B7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30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Navid Sharifzadeh</dc:creator>
  <cp:keywords/>
  <dc:description/>
  <cp:lastModifiedBy>Navid Sharifzadeh</cp:lastModifiedBy>
  <cp:revision>2</cp:revision>
  <dcterms:created xsi:type="dcterms:W3CDTF">2018-08-23T16:35:00Z</dcterms:created>
  <dcterms:modified xsi:type="dcterms:W3CDTF">2019-03-10T09:10:00Z</dcterms:modified>
</cp:coreProperties>
</file>