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442" w:rsidRPr="00554B67" w:rsidRDefault="00DD3442" w:rsidP="00DD3442">
      <w:pPr>
        <w:shd w:val="clear" w:color="auto" w:fill="FFFFFF"/>
        <w:autoSpaceDE w:val="0"/>
        <w:autoSpaceDN w:val="0"/>
        <w:adjustRightInd w:val="0"/>
        <w:spacing w:after="120" w:line="276" w:lineRule="auto"/>
        <w:outlineLvl w:val="0"/>
        <w:rPr>
          <w:b/>
          <w:bCs/>
          <w:sz w:val="28"/>
          <w:szCs w:val="28"/>
        </w:rPr>
      </w:pPr>
      <w:r w:rsidRPr="00554B67">
        <w:rPr>
          <w:b/>
          <w:bCs/>
          <w:sz w:val="28"/>
          <w:szCs w:val="28"/>
        </w:rPr>
        <w:t xml:space="preserve">EFFECT OF </w:t>
      </w:r>
      <w:r>
        <w:rPr>
          <w:b/>
          <w:bCs/>
          <w:sz w:val="28"/>
          <w:szCs w:val="28"/>
        </w:rPr>
        <w:t xml:space="preserve">DIFFERENT </w:t>
      </w:r>
      <w:r w:rsidRPr="00554B67">
        <w:rPr>
          <w:b/>
          <w:bCs/>
          <w:sz w:val="28"/>
          <w:szCs w:val="28"/>
        </w:rPr>
        <w:t xml:space="preserve">GAMMA RADIATION </w:t>
      </w:r>
      <w:r>
        <w:rPr>
          <w:b/>
          <w:bCs/>
          <w:sz w:val="28"/>
          <w:szCs w:val="28"/>
        </w:rPr>
        <w:t xml:space="preserve">DOSES </w:t>
      </w:r>
      <w:r w:rsidRPr="00554B67">
        <w:rPr>
          <w:b/>
          <w:bCs/>
          <w:sz w:val="28"/>
          <w:szCs w:val="28"/>
        </w:rPr>
        <w:t xml:space="preserve">ON THE MECHANICAL PROPERTIES OF ESTHETIC </w:t>
      </w:r>
      <w:r>
        <w:rPr>
          <w:b/>
          <w:bCs/>
          <w:sz w:val="28"/>
          <w:szCs w:val="28"/>
        </w:rPr>
        <w:t>RESTORATIONS</w:t>
      </w:r>
    </w:p>
    <w:p w:rsidR="00DD3442" w:rsidRPr="00554B67" w:rsidRDefault="00DD3442" w:rsidP="00DD3442">
      <w:pPr>
        <w:autoSpaceDE w:val="0"/>
        <w:autoSpaceDN w:val="0"/>
        <w:adjustRightInd w:val="0"/>
        <w:spacing w:before="100" w:beforeAutospacing="1" w:after="120" w:line="276" w:lineRule="auto"/>
        <w:jc w:val="both"/>
        <w:rPr>
          <w:b/>
          <w:bCs/>
          <w:sz w:val="28"/>
          <w:szCs w:val="28"/>
        </w:rPr>
      </w:pPr>
      <w:r w:rsidRPr="00554B67">
        <w:rPr>
          <w:b/>
          <w:bCs/>
          <w:sz w:val="28"/>
          <w:szCs w:val="28"/>
        </w:rPr>
        <w:t>ABSTRACT</w:t>
      </w:r>
    </w:p>
    <w:p w:rsidR="00DD3442" w:rsidRPr="00554B67" w:rsidRDefault="00DD3442" w:rsidP="00DD3442">
      <w:pPr>
        <w:spacing w:before="100" w:beforeAutospacing="1" w:after="120" w:line="276" w:lineRule="auto"/>
        <w:ind w:firstLine="720"/>
        <w:jc w:val="both"/>
        <w:outlineLvl w:val="0"/>
        <w:rPr>
          <w:sz w:val="28"/>
          <w:szCs w:val="28"/>
        </w:rPr>
      </w:pPr>
      <w:r w:rsidRPr="00554B67">
        <w:rPr>
          <w:sz w:val="28"/>
          <w:szCs w:val="28"/>
        </w:rPr>
        <w:t xml:space="preserve">This in-vitro study investigated </w:t>
      </w:r>
      <w:r w:rsidRPr="0090798D">
        <w:rPr>
          <w:sz w:val="28"/>
          <w:szCs w:val="28"/>
        </w:rPr>
        <w:t>effect of different gamma radiation doses on the mechanical properties of esthetic restorations</w:t>
      </w:r>
      <w:r w:rsidRPr="00554B67">
        <w:rPr>
          <w:sz w:val="28"/>
          <w:szCs w:val="28"/>
        </w:rPr>
        <w:t xml:space="preserve">. </w:t>
      </w:r>
      <w:r>
        <w:rPr>
          <w:sz w:val="28"/>
          <w:szCs w:val="28"/>
        </w:rPr>
        <w:t>A</w:t>
      </w:r>
      <w:r w:rsidRPr="00554B67">
        <w:rPr>
          <w:sz w:val="28"/>
          <w:szCs w:val="28"/>
        </w:rPr>
        <w:t xml:space="preserve"> total of 84 standardized specimens were prepared for this study. Each 21 of them were prepared using the following four resin composites: Ceram X</w:t>
      </w:r>
      <w:r>
        <w:rPr>
          <w:sz w:val="28"/>
          <w:szCs w:val="28"/>
        </w:rPr>
        <w:t xml:space="preserve"> (</w:t>
      </w:r>
      <w:proofErr w:type="spellStart"/>
      <w:r>
        <w:rPr>
          <w:sz w:val="28"/>
          <w:szCs w:val="28"/>
        </w:rPr>
        <w:t>Dentsply</w:t>
      </w:r>
      <w:proofErr w:type="spellEnd"/>
      <w:r>
        <w:rPr>
          <w:sz w:val="28"/>
          <w:szCs w:val="28"/>
        </w:rPr>
        <w:t>)</w:t>
      </w:r>
      <w:r w:rsidRPr="00554B67">
        <w:rPr>
          <w:sz w:val="28"/>
          <w:szCs w:val="28"/>
        </w:rPr>
        <w:t xml:space="preserve">, Z350 </w:t>
      </w:r>
      <w:proofErr w:type="spellStart"/>
      <w:r w:rsidRPr="00554B67">
        <w:rPr>
          <w:sz w:val="28"/>
          <w:szCs w:val="28"/>
        </w:rPr>
        <w:t>xt</w:t>
      </w:r>
      <w:proofErr w:type="spellEnd"/>
      <w:r>
        <w:rPr>
          <w:sz w:val="28"/>
          <w:szCs w:val="28"/>
        </w:rPr>
        <w:t xml:space="preserve"> (3M ESPE)</w:t>
      </w:r>
      <w:r w:rsidRPr="00554B67">
        <w:rPr>
          <w:sz w:val="28"/>
          <w:szCs w:val="28"/>
        </w:rPr>
        <w:t xml:space="preserve">, </w:t>
      </w:r>
      <w:proofErr w:type="spellStart"/>
      <w:r w:rsidRPr="00554B67">
        <w:rPr>
          <w:sz w:val="28"/>
          <w:szCs w:val="28"/>
        </w:rPr>
        <w:t>Xtra</w:t>
      </w:r>
      <w:proofErr w:type="spellEnd"/>
      <w:r w:rsidRPr="00554B67">
        <w:rPr>
          <w:sz w:val="28"/>
          <w:szCs w:val="28"/>
        </w:rPr>
        <w:t xml:space="preserve"> fill </w:t>
      </w:r>
      <w:r>
        <w:rPr>
          <w:sz w:val="28"/>
          <w:szCs w:val="28"/>
        </w:rPr>
        <w:t>(</w:t>
      </w:r>
      <w:proofErr w:type="spellStart"/>
      <w:r w:rsidRPr="00554B67">
        <w:rPr>
          <w:sz w:val="28"/>
          <w:szCs w:val="28"/>
        </w:rPr>
        <w:t>Voco</w:t>
      </w:r>
      <w:proofErr w:type="spellEnd"/>
      <w:r>
        <w:rPr>
          <w:sz w:val="28"/>
          <w:szCs w:val="28"/>
        </w:rPr>
        <w:t>)</w:t>
      </w:r>
      <w:r w:rsidRPr="00554B67">
        <w:rPr>
          <w:sz w:val="28"/>
          <w:szCs w:val="28"/>
        </w:rPr>
        <w:t xml:space="preserve"> and </w:t>
      </w:r>
      <w:proofErr w:type="spellStart"/>
      <w:r w:rsidRPr="00554B67">
        <w:rPr>
          <w:sz w:val="28"/>
          <w:szCs w:val="28"/>
        </w:rPr>
        <w:t>Grandio</w:t>
      </w:r>
      <w:proofErr w:type="spellEnd"/>
      <w:r w:rsidRPr="00554B67">
        <w:rPr>
          <w:sz w:val="28"/>
          <w:szCs w:val="28"/>
        </w:rPr>
        <w:t xml:space="preserve"> </w:t>
      </w:r>
      <w:r>
        <w:rPr>
          <w:sz w:val="28"/>
          <w:szCs w:val="28"/>
        </w:rPr>
        <w:t>(</w:t>
      </w:r>
      <w:proofErr w:type="spellStart"/>
      <w:r w:rsidRPr="00554B67">
        <w:rPr>
          <w:sz w:val="28"/>
          <w:szCs w:val="28"/>
        </w:rPr>
        <w:t>Voco</w:t>
      </w:r>
      <w:proofErr w:type="spellEnd"/>
      <w:r>
        <w:rPr>
          <w:sz w:val="28"/>
          <w:szCs w:val="28"/>
        </w:rPr>
        <w:t>)</w:t>
      </w:r>
      <w:r w:rsidRPr="00554B67">
        <w:rPr>
          <w:sz w:val="28"/>
          <w:szCs w:val="28"/>
        </w:rPr>
        <w:t>. Then, the 21 specimens were divided as follows: 3 specimens representing the control group (C) were cured</w:t>
      </w:r>
      <w:r>
        <w:rPr>
          <w:sz w:val="28"/>
          <w:szCs w:val="28"/>
        </w:rPr>
        <w:t xml:space="preserve"> </w:t>
      </w:r>
      <w:r w:rsidRPr="00554B67">
        <w:rPr>
          <w:sz w:val="28"/>
          <w:szCs w:val="28"/>
        </w:rPr>
        <w:t xml:space="preserve">using wood pecker </w:t>
      </w:r>
      <w:r>
        <w:rPr>
          <w:sz w:val="28"/>
          <w:szCs w:val="28"/>
        </w:rPr>
        <w:t>LED</w:t>
      </w:r>
      <w:r w:rsidRPr="00554B67">
        <w:rPr>
          <w:sz w:val="28"/>
          <w:szCs w:val="28"/>
        </w:rPr>
        <w:t xml:space="preserve"> light cure unit, 9 specimens were subjected to gamma radiation after curing (</w:t>
      </w:r>
      <w:proofErr w:type="spellStart"/>
      <w:r w:rsidRPr="00554B67">
        <w:rPr>
          <w:sz w:val="28"/>
          <w:szCs w:val="28"/>
        </w:rPr>
        <w:t>IaC</w:t>
      </w:r>
      <w:proofErr w:type="spellEnd"/>
      <w:r w:rsidRPr="00554B67">
        <w:rPr>
          <w:sz w:val="28"/>
          <w:szCs w:val="28"/>
        </w:rPr>
        <w:t xml:space="preserve">) from which three were subjected with a dose of 10 </w:t>
      </w:r>
      <w:proofErr w:type="spellStart"/>
      <w:r w:rsidRPr="00554B67">
        <w:rPr>
          <w:sz w:val="28"/>
          <w:szCs w:val="28"/>
        </w:rPr>
        <w:t>Gy</w:t>
      </w:r>
      <w:proofErr w:type="spellEnd"/>
      <w:r w:rsidRPr="00554B67">
        <w:rPr>
          <w:sz w:val="28"/>
          <w:szCs w:val="28"/>
        </w:rPr>
        <w:t xml:space="preserve"> (IaC-10), the other three with 30Gy (IaC-30) and the last three with 60 </w:t>
      </w:r>
      <w:proofErr w:type="spellStart"/>
      <w:r w:rsidRPr="00554B67">
        <w:rPr>
          <w:sz w:val="28"/>
          <w:szCs w:val="28"/>
        </w:rPr>
        <w:t>Gy</w:t>
      </w:r>
      <w:proofErr w:type="spellEnd"/>
      <w:r w:rsidRPr="00554B67">
        <w:rPr>
          <w:sz w:val="28"/>
          <w:szCs w:val="28"/>
        </w:rPr>
        <w:t xml:space="preserve"> (IaC-60); the last 9 specimens were subjected to gamma radiation before curing (</w:t>
      </w:r>
      <w:proofErr w:type="spellStart"/>
      <w:r w:rsidRPr="00554B67">
        <w:rPr>
          <w:sz w:val="28"/>
          <w:szCs w:val="28"/>
        </w:rPr>
        <w:t>IbC</w:t>
      </w:r>
      <w:proofErr w:type="spellEnd"/>
      <w:r w:rsidRPr="00554B67">
        <w:rPr>
          <w:sz w:val="28"/>
          <w:szCs w:val="28"/>
        </w:rPr>
        <w:t xml:space="preserve">) from which three were subjected with a dose of 10 </w:t>
      </w:r>
      <w:proofErr w:type="spellStart"/>
      <w:r w:rsidRPr="00554B67">
        <w:rPr>
          <w:sz w:val="28"/>
          <w:szCs w:val="28"/>
        </w:rPr>
        <w:t>Gy</w:t>
      </w:r>
      <w:proofErr w:type="spellEnd"/>
      <w:r w:rsidRPr="00554B67">
        <w:rPr>
          <w:sz w:val="28"/>
          <w:szCs w:val="28"/>
        </w:rPr>
        <w:t xml:space="preserve"> (IbC-10), the other three with 30Gy (IbC-30) and the last three with 60 </w:t>
      </w:r>
      <w:proofErr w:type="spellStart"/>
      <w:r w:rsidRPr="00554B67">
        <w:rPr>
          <w:sz w:val="28"/>
          <w:szCs w:val="28"/>
        </w:rPr>
        <w:t>Gy</w:t>
      </w:r>
      <w:proofErr w:type="spellEnd"/>
      <w:r w:rsidRPr="00554B67">
        <w:rPr>
          <w:sz w:val="28"/>
          <w:szCs w:val="28"/>
        </w:rPr>
        <w:t xml:space="preserve"> (IbC-60). All specimens were subjected to measurement of surface microhardness in Vickers hardness tester. The depth of cure was calculated by obtaining the microhardness ratio through dividing VHN of the bottom surface by VHN of the top surface. Data was then recorded, tabulated and statistically analyzed.</w:t>
      </w:r>
      <w:r w:rsidRPr="00554B67">
        <w:t xml:space="preserve"> </w:t>
      </w:r>
      <w:r w:rsidRPr="00554B67">
        <w:rPr>
          <w:sz w:val="28"/>
          <w:szCs w:val="28"/>
        </w:rPr>
        <w:t xml:space="preserve">Most results of the specimens’ top showed statistically significant increase in mean microhardness of </w:t>
      </w:r>
      <w:proofErr w:type="spellStart"/>
      <w:r w:rsidRPr="00554B67">
        <w:rPr>
          <w:sz w:val="28"/>
          <w:szCs w:val="28"/>
        </w:rPr>
        <w:t>IaC</w:t>
      </w:r>
      <w:proofErr w:type="spellEnd"/>
      <w:r w:rsidRPr="00554B67">
        <w:rPr>
          <w:sz w:val="28"/>
          <w:szCs w:val="28"/>
        </w:rPr>
        <w:t xml:space="preserve"> and </w:t>
      </w:r>
      <w:proofErr w:type="spellStart"/>
      <w:r w:rsidRPr="00554B67">
        <w:rPr>
          <w:sz w:val="28"/>
          <w:szCs w:val="28"/>
        </w:rPr>
        <w:t>IbC</w:t>
      </w:r>
      <w:proofErr w:type="spellEnd"/>
      <w:r w:rsidRPr="00554B67">
        <w:rPr>
          <w:sz w:val="28"/>
          <w:szCs w:val="28"/>
        </w:rPr>
        <w:t xml:space="preserve"> sub-groups in relevance to the control groups. Most results of the specimens’ top showed statistically significant increase in mean microhardness of </w:t>
      </w:r>
      <w:proofErr w:type="spellStart"/>
      <w:r w:rsidRPr="00554B67">
        <w:rPr>
          <w:sz w:val="28"/>
          <w:szCs w:val="28"/>
        </w:rPr>
        <w:t>IbC</w:t>
      </w:r>
      <w:proofErr w:type="spellEnd"/>
      <w:r w:rsidRPr="00554B67">
        <w:rPr>
          <w:sz w:val="28"/>
          <w:szCs w:val="28"/>
        </w:rPr>
        <w:t xml:space="preserve"> sub-group in relevance to </w:t>
      </w:r>
      <w:proofErr w:type="spellStart"/>
      <w:r w:rsidRPr="00554B67">
        <w:rPr>
          <w:sz w:val="28"/>
          <w:szCs w:val="28"/>
        </w:rPr>
        <w:t>IaC</w:t>
      </w:r>
      <w:proofErr w:type="spellEnd"/>
      <w:r w:rsidRPr="00554B67">
        <w:rPr>
          <w:sz w:val="28"/>
          <w:szCs w:val="28"/>
        </w:rPr>
        <w:t xml:space="preserve"> sub-group. Results of (B/T) showed increase in mean depth of cure of </w:t>
      </w:r>
      <w:proofErr w:type="spellStart"/>
      <w:r w:rsidRPr="00554B67">
        <w:rPr>
          <w:sz w:val="28"/>
          <w:szCs w:val="28"/>
        </w:rPr>
        <w:t>IbC</w:t>
      </w:r>
      <w:proofErr w:type="spellEnd"/>
      <w:r w:rsidRPr="00554B67">
        <w:rPr>
          <w:sz w:val="28"/>
          <w:szCs w:val="28"/>
        </w:rPr>
        <w:t xml:space="preserve"> sub-groups in relevance to the control group and to </w:t>
      </w:r>
      <w:proofErr w:type="spellStart"/>
      <w:r w:rsidRPr="00554B67">
        <w:rPr>
          <w:sz w:val="28"/>
          <w:szCs w:val="28"/>
        </w:rPr>
        <w:t>IaC</w:t>
      </w:r>
      <w:proofErr w:type="spellEnd"/>
      <w:r w:rsidRPr="00554B67">
        <w:rPr>
          <w:sz w:val="28"/>
          <w:szCs w:val="28"/>
        </w:rPr>
        <w:t xml:space="preserve"> sub-groups, </w:t>
      </w:r>
      <w:r>
        <w:rPr>
          <w:sz w:val="28"/>
          <w:szCs w:val="28"/>
        </w:rPr>
        <w:t xml:space="preserve">where </w:t>
      </w:r>
      <w:r w:rsidRPr="00554B67">
        <w:rPr>
          <w:sz w:val="28"/>
          <w:szCs w:val="28"/>
        </w:rPr>
        <w:t xml:space="preserve">most of </w:t>
      </w:r>
      <w:r>
        <w:rPr>
          <w:sz w:val="28"/>
          <w:szCs w:val="28"/>
        </w:rPr>
        <w:t>them</w:t>
      </w:r>
      <w:r w:rsidRPr="00554B67">
        <w:rPr>
          <w:sz w:val="28"/>
          <w:szCs w:val="28"/>
        </w:rPr>
        <w:t xml:space="preserve"> are statistically significant. Pearson correlation coefficient between top and bottom was found to be statistically significant (r = 0.9). In conclusion, surface microhardness of different composite resin have improved following being subjected to gamma radiation by various doses, on the other hand most of the results of the depth of cure </w:t>
      </w:r>
      <w:r>
        <w:rPr>
          <w:sz w:val="28"/>
          <w:szCs w:val="28"/>
        </w:rPr>
        <w:t>was low</w:t>
      </w:r>
      <w:r w:rsidRPr="00554B67">
        <w:rPr>
          <w:sz w:val="28"/>
          <w:szCs w:val="28"/>
        </w:rPr>
        <w:t xml:space="preserve"> </w:t>
      </w:r>
      <w:r>
        <w:rPr>
          <w:sz w:val="28"/>
          <w:szCs w:val="28"/>
        </w:rPr>
        <w:t xml:space="preserve">for the group </w:t>
      </w:r>
      <w:proofErr w:type="spellStart"/>
      <w:r>
        <w:rPr>
          <w:sz w:val="28"/>
          <w:szCs w:val="28"/>
        </w:rPr>
        <w:t>IaC</w:t>
      </w:r>
      <w:proofErr w:type="spellEnd"/>
      <w:r>
        <w:rPr>
          <w:sz w:val="28"/>
          <w:szCs w:val="28"/>
        </w:rPr>
        <w:t xml:space="preserve"> and has improved for the group </w:t>
      </w:r>
      <w:proofErr w:type="spellStart"/>
      <w:r>
        <w:rPr>
          <w:sz w:val="28"/>
          <w:szCs w:val="28"/>
        </w:rPr>
        <w:t>IbC</w:t>
      </w:r>
      <w:proofErr w:type="spellEnd"/>
      <w:r>
        <w:rPr>
          <w:sz w:val="28"/>
          <w:szCs w:val="28"/>
        </w:rPr>
        <w:t>.</w:t>
      </w:r>
    </w:p>
    <w:p w:rsidR="00D6228C" w:rsidRDefault="00D6228C"/>
    <w:sectPr w:rsidR="00D6228C" w:rsidSect="00D6228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DD3442"/>
    <w:rsid w:val="00D6228C"/>
    <w:rsid w:val="00DD344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344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324</Words>
  <Characters>1848</Characters>
  <Application>Microsoft Office Word</Application>
  <DocSecurity>0</DocSecurity>
  <Lines>15</Lines>
  <Paragraphs>4</Paragraphs>
  <ScaleCrop>false</ScaleCrop>
  <Company/>
  <LinksUpToDate>false</LinksUpToDate>
  <CharactersWithSpaces>2168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2018-04-07T15:48:00Z</dcterms:created>
  <dcterms:modified xsi:type="dcterms:W3CDTF">2018-04-07T15:49:00Z</dcterms:modified>
</cp:coreProperties>
</file>