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513" w:rsidRPr="00A13513" w:rsidRDefault="00A13513" w:rsidP="00C11F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Hemophagocytic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lymphohistiocytosis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6701CF">
        <w:rPr>
          <w:rFonts w:ascii="Times New Roman" w:hAnsi="Times New Roman" w:cs="Times New Roman"/>
          <w:color w:val="000000"/>
          <w:sz w:val="24"/>
          <w:szCs w:val="24"/>
        </w:rPr>
        <w:t>HLH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6701CF">
        <w:rPr>
          <w:rFonts w:ascii="Times New Roman" w:hAnsi="Times New Roman" w:cs="Times New Roman"/>
          <w:color w:val="000000"/>
          <w:sz w:val="24"/>
          <w:szCs w:val="24"/>
        </w:rPr>
        <w:t xml:space="preserve"> comprises a group of </w:t>
      </w:r>
      <w:proofErr w:type="spellStart"/>
      <w:r w:rsidRPr="006701CF">
        <w:rPr>
          <w:rFonts w:ascii="Times New Roman" w:hAnsi="Times New Roman" w:cs="Times New Roman"/>
          <w:color w:val="000000"/>
          <w:sz w:val="24"/>
          <w:szCs w:val="24"/>
        </w:rPr>
        <w:t>histiocytoses</w:t>
      </w:r>
      <w:proofErr w:type="spellEnd"/>
      <w:r w:rsidRPr="006701CF">
        <w:rPr>
          <w:rFonts w:ascii="Times New Roman" w:hAnsi="Times New Roman" w:cs="Times New Roman"/>
          <w:color w:val="000000"/>
          <w:sz w:val="24"/>
          <w:szCs w:val="24"/>
        </w:rPr>
        <w:t xml:space="preserve"> which </w:t>
      </w:r>
      <w:r w:rsidR="000B7C54">
        <w:rPr>
          <w:rFonts w:ascii="Times New Roman" w:hAnsi="Times New Roman" w:cs="Times New Roman"/>
          <w:color w:val="000000"/>
          <w:sz w:val="24"/>
          <w:szCs w:val="24"/>
        </w:rPr>
        <w:t xml:space="preserve">is potentially fatal and is the result of uncontrolled immune activation. It exists in two major forms. The first one is familial HLH which has a genetic cause and the other one being secondary HLH. Secondary HLH can </w:t>
      </w:r>
      <w:proofErr w:type="gramStart"/>
      <w:r w:rsidR="000B7C54">
        <w:rPr>
          <w:rFonts w:ascii="Times New Roman" w:hAnsi="Times New Roman" w:cs="Times New Roman"/>
          <w:color w:val="000000"/>
          <w:sz w:val="24"/>
          <w:szCs w:val="24"/>
        </w:rPr>
        <w:t>occur</w:t>
      </w:r>
      <w:proofErr w:type="gramEnd"/>
      <w:r w:rsidR="000B7C54">
        <w:rPr>
          <w:rFonts w:ascii="Times New Roman" w:hAnsi="Times New Roman" w:cs="Times New Roman"/>
          <w:color w:val="000000"/>
          <w:sz w:val="24"/>
          <w:szCs w:val="24"/>
        </w:rPr>
        <w:t xml:space="preserve"> secondary to autoimmune diseases, malignancy and infections. Although most cases of secondary HLH occur due to viral infections</w:t>
      </w:r>
      <w:r w:rsidR="009743E8">
        <w:rPr>
          <w:rFonts w:ascii="Times New Roman" w:hAnsi="Times New Roman" w:cs="Times New Roman"/>
          <w:color w:val="000000"/>
          <w:sz w:val="24"/>
          <w:szCs w:val="24"/>
        </w:rPr>
        <w:t xml:space="preserve">, very few cases due to visceral </w:t>
      </w:r>
      <w:proofErr w:type="spellStart"/>
      <w:r w:rsidR="009743E8">
        <w:rPr>
          <w:rFonts w:ascii="Times New Roman" w:hAnsi="Times New Roman" w:cs="Times New Roman"/>
          <w:color w:val="000000"/>
          <w:sz w:val="24"/>
          <w:szCs w:val="24"/>
        </w:rPr>
        <w:t>leishmaniasis</w:t>
      </w:r>
      <w:proofErr w:type="spellEnd"/>
      <w:r w:rsidR="009743E8">
        <w:rPr>
          <w:rFonts w:ascii="Times New Roman" w:hAnsi="Times New Roman" w:cs="Times New Roman"/>
          <w:color w:val="000000"/>
          <w:sz w:val="24"/>
          <w:szCs w:val="24"/>
        </w:rPr>
        <w:t xml:space="preserve"> have been reported in literature. We report a 5 years old male child with visceral </w:t>
      </w:r>
      <w:proofErr w:type="spellStart"/>
      <w:r w:rsidR="009743E8">
        <w:rPr>
          <w:rFonts w:ascii="Times New Roman" w:hAnsi="Times New Roman" w:cs="Times New Roman"/>
          <w:color w:val="000000"/>
          <w:sz w:val="24"/>
          <w:szCs w:val="24"/>
        </w:rPr>
        <w:t>leishmaniasis</w:t>
      </w:r>
      <w:proofErr w:type="spellEnd"/>
      <w:r w:rsidR="009743E8">
        <w:rPr>
          <w:rFonts w:ascii="Times New Roman" w:hAnsi="Times New Roman" w:cs="Times New Roman"/>
          <w:color w:val="000000"/>
          <w:sz w:val="24"/>
          <w:szCs w:val="24"/>
        </w:rPr>
        <w:t xml:space="preserve"> who developed HLH. He had presented with a history of prolonged fever and progressive paleness of body. Physical examination revealed massive </w:t>
      </w:r>
      <w:proofErr w:type="spellStart"/>
      <w:r w:rsidR="009743E8">
        <w:rPr>
          <w:rFonts w:ascii="Times New Roman" w:hAnsi="Times New Roman" w:cs="Times New Roman"/>
          <w:color w:val="000000"/>
          <w:sz w:val="24"/>
          <w:szCs w:val="24"/>
        </w:rPr>
        <w:t>splenomegaly</w:t>
      </w:r>
      <w:proofErr w:type="spellEnd"/>
      <w:r w:rsidR="009743E8">
        <w:rPr>
          <w:rFonts w:ascii="Times New Roman" w:hAnsi="Times New Roman" w:cs="Times New Roman"/>
          <w:color w:val="000000"/>
          <w:sz w:val="24"/>
          <w:szCs w:val="24"/>
        </w:rPr>
        <w:t xml:space="preserve"> and pallor</w:t>
      </w:r>
      <w:r w:rsidR="00B6650C">
        <w:rPr>
          <w:rFonts w:ascii="Times New Roman" w:hAnsi="Times New Roman" w:cs="Times New Roman"/>
          <w:color w:val="000000"/>
          <w:sz w:val="24"/>
          <w:szCs w:val="24"/>
        </w:rPr>
        <w:t xml:space="preserve">. As he already had visceral </w:t>
      </w:r>
      <w:proofErr w:type="spellStart"/>
      <w:r w:rsidR="00B6650C">
        <w:rPr>
          <w:rFonts w:ascii="Times New Roman" w:hAnsi="Times New Roman" w:cs="Times New Roman"/>
          <w:color w:val="000000"/>
          <w:sz w:val="24"/>
          <w:szCs w:val="24"/>
        </w:rPr>
        <w:t>leishmaniasis</w:t>
      </w:r>
      <w:proofErr w:type="spellEnd"/>
      <w:r w:rsidR="00B6650C">
        <w:rPr>
          <w:rFonts w:ascii="Times New Roman" w:hAnsi="Times New Roman" w:cs="Times New Roman"/>
          <w:color w:val="000000"/>
          <w:sz w:val="24"/>
          <w:szCs w:val="24"/>
        </w:rPr>
        <w:t xml:space="preserve"> in the past, the K39 test wasn’t helpful. So presence of </w:t>
      </w:r>
      <w:proofErr w:type="spellStart"/>
      <w:r w:rsidR="00B6650C">
        <w:rPr>
          <w:rFonts w:ascii="Times New Roman" w:hAnsi="Times New Roman" w:cs="Times New Roman"/>
          <w:color w:val="000000"/>
          <w:sz w:val="24"/>
          <w:szCs w:val="24"/>
        </w:rPr>
        <w:t>hypergammaglobinemia</w:t>
      </w:r>
      <w:proofErr w:type="spellEnd"/>
      <w:r w:rsidR="00B6650C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="00B6650C">
        <w:rPr>
          <w:rFonts w:ascii="Times New Roman" w:hAnsi="Times New Roman" w:cs="Times New Roman"/>
          <w:color w:val="000000"/>
          <w:sz w:val="24"/>
          <w:szCs w:val="24"/>
        </w:rPr>
        <w:t>plasmacytosis</w:t>
      </w:r>
      <w:proofErr w:type="spellEnd"/>
      <w:r w:rsidR="00B6650C">
        <w:rPr>
          <w:rFonts w:ascii="Times New Roman" w:hAnsi="Times New Roman" w:cs="Times New Roman"/>
          <w:color w:val="000000"/>
          <w:sz w:val="24"/>
          <w:szCs w:val="24"/>
        </w:rPr>
        <w:t xml:space="preserve"> was needed to establish the diagnosis of VL. T</w:t>
      </w:r>
      <w:r w:rsidR="00B6650C">
        <w:rPr>
          <w:rFonts w:ascii="Times New Roman" w:hAnsi="Times New Roman" w:cs="Times New Roman"/>
          <w:sz w:val="24"/>
          <w:szCs w:val="24"/>
        </w:rPr>
        <w:t xml:space="preserve">he presence of </w:t>
      </w:r>
      <w:proofErr w:type="spellStart"/>
      <w:r w:rsidR="00B6650C">
        <w:rPr>
          <w:rFonts w:ascii="Times New Roman" w:hAnsi="Times New Roman" w:cs="Times New Roman"/>
          <w:sz w:val="24"/>
          <w:szCs w:val="24"/>
        </w:rPr>
        <w:t>hemophagocytosis</w:t>
      </w:r>
      <w:proofErr w:type="spellEnd"/>
      <w:r w:rsidR="00B6650C">
        <w:rPr>
          <w:rFonts w:ascii="Times New Roman" w:hAnsi="Times New Roman" w:cs="Times New Roman"/>
          <w:sz w:val="24"/>
          <w:szCs w:val="24"/>
        </w:rPr>
        <w:t xml:space="preserve"> to BMA, </w:t>
      </w:r>
      <w:proofErr w:type="spellStart"/>
      <w:r w:rsidR="00B6650C">
        <w:rPr>
          <w:rFonts w:ascii="Times New Roman" w:hAnsi="Times New Roman" w:cs="Times New Roman"/>
          <w:sz w:val="24"/>
          <w:szCs w:val="24"/>
        </w:rPr>
        <w:t>hyperferritinemia</w:t>
      </w:r>
      <w:proofErr w:type="spellEnd"/>
      <w:r w:rsidR="00B6650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6650C">
        <w:rPr>
          <w:rFonts w:ascii="Times New Roman" w:hAnsi="Times New Roman" w:cs="Times New Roman"/>
          <w:sz w:val="24"/>
          <w:szCs w:val="24"/>
        </w:rPr>
        <w:t>hypertriglyceridemia</w:t>
      </w:r>
      <w:proofErr w:type="spellEnd"/>
      <w:r w:rsidR="00B6650C">
        <w:rPr>
          <w:rFonts w:ascii="Times New Roman" w:hAnsi="Times New Roman" w:cs="Times New Roman"/>
          <w:sz w:val="24"/>
          <w:szCs w:val="24"/>
        </w:rPr>
        <w:t xml:space="preserve"> a diagnosis of HLH secondary to VL was </w:t>
      </w:r>
      <w:proofErr w:type="gramStart"/>
      <w:r w:rsidR="00B6650C">
        <w:rPr>
          <w:rFonts w:ascii="Times New Roman" w:hAnsi="Times New Roman" w:cs="Times New Roman"/>
          <w:sz w:val="24"/>
          <w:szCs w:val="24"/>
        </w:rPr>
        <w:t>made(</w:t>
      </w:r>
      <w:proofErr w:type="gramEnd"/>
      <w:r w:rsidR="00B6650C">
        <w:rPr>
          <w:rFonts w:ascii="Times New Roman" w:hAnsi="Times New Roman" w:cs="Times New Roman"/>
          <w:sz w:val="24"/>
          <w:szCs w:val="24"/>
        </w:rPr>
        <w:t xml:space="preserve">based on HLH 2004 criteria). This child was treated with liposomal </w:t>
      </w:r>
      <w:proofErr w:type="spellStart"/>
      <w:r w:rsidR="00B6650C">
        <w:rPr>
          <w:rFonts w:ascii="Times New Roman" w:hAnsi="Times New Roman" w:cs="Times New Roman"/>
          <w:sz w:val="24"/>
          <w:szCs w:val="24"/>
        </w:rPr>
        <w:t>amphotericin</w:t>
      </w:r>
      <w:proofErr w:type="spellEnd"/>
      <w:r w:rsidR="00B6650C">
        <w:rPr>
          <w:rFonts w:ascii="Times New Roman" w:hAnsi="Times New Roman" w:cs="Times New Roman"/>
          <w:sz w:val="24"/>
          <w:szCs w:val="24"/>
        </w:rPr>
        <w:t xml:space="preserve"> B and corticosteroids</w:t>
      </w:r>
      <w:r w:rsidR="003F5FFB">
        <w:rPr>
          <w:rFonts w:ascii="Times New Roman" w:hAnsi="Times New Roman" w:cs="Times New Roman"/>
          <w:sz w:val="24"/>
          <w:szCs w:val="24"/>
        </w:rPr>
        <w:t xml:space="preserve"> which resulted in dramatic clinical response</w:t>
      </w:r>
      <w:r w:rsidR="00820DF5">
        <w:rPr>
          <w:rFonts w:ascii="Times New Roman" w:hAnsi="Times New Roman" w:cs="Times New Roman"/>
          <w:sz w:val="24"/>
          <w:szCs w:val="24"/>
        </w:rPr>
        <w:t xml:space="preserve">. The child was asymptomatic on one month </w:t>
      </w:r>
      <w:r w:rsidR="003F5FFB">
        <w:rPr>
          <w:rFonts w:ascii="Times New Roman" w:hAnsi="Times New Roman" w:cs="Times New Roman"/>
          <w:sz w:val="24"/>
          <w:szCs w:val="24"/>
        </w:rPr>
        <w:t>follow-up.</w:t>
      </w:r>
    </w:p>
    <w:sectPr w:rsidR="00A13513" w:rsidRPr="00A13513" w:rsidSect="00A13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13513"/>
    <w:rsid w:val="000B7C54"/>
    <w:rsid w:val="001B0A53"/>
    <w:rsid w:val="003F5FFB"/>
    <w:rsid w:val="00745711"/>
    <w:rsid w:val="00820DF5"/>
    <w:rsid w:val="009743E8"/>
    <w:rsid w:val="00A13513"/>
    <w:rsid w:val="00B6650C"/>
    <w:rsid w:val="00C11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5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2017-08-03T13:17:00Z</dcterms:created>
  <dcterms:modified xsi:type="dcterms:W3CDTF">2017-08-14T06:05:00Z</dcterms:modified>
</cp:coreProperties>
</file>