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autoSpaceDE w:val="false"/>
        <w:autoSpaceDN w:val="false"/>
        <w:adjustRightInd w:val="false"/>
        <w:spacing w:after="0" w:lineRule="auto" w:line="480"/>
        <w:jc w:val="center"/>
        <w:rPr>
          <w:rFonts w:ascii="Times New Roman" w:hAnsi="Times New Roman"/>
          <w:b/>
          <w:i/>
          <w:sz w:val="32"/>
          <w:szCs w:val="24"/>
        </w:rPr>
      </w:pPr>
      <w:r>
        <w:rPr>
          <w:rFonts w:ascii="Times New Roman" w:hAnsi="Times New Roman"/>
          <w:b/>
          <w:bCs/>
          <w:i/>
          <w:color w:val="000000"/>
          <w:sz w:val="32"/>
          <w:szCs w:val="24"/>
        </w:rPr>
        <w:t xml:space="preserve">Carbon Stock in </w:t>
      </w:r>
      <w:r>
        <w:rPr>
          <w:rFonts w:ascii="Times New Roman" w:hAnsi="Times New Roman"/>
          <w:b/>
          <w:bCs/>
          <w:i/>
          <w:color w:val="000000"/>
          <w:sz w:val="32"/>
          <w:szCs w:val="24"/>
        </w:rPr>
        <w:t>Gullele</w:t>
      </w:r>
      <w:r>
        <w:rPr>
          <w:rFonts w:ascii="Times New Roman" w:hAnsi="Times New Roman"/>
          <w:b/>
          <w:bCs/>
          <w:i/>
          <w:color w:val="000000"/>
          <w:sz w:val="32"/>
          <w:szCs w:val="24"/>
        </w:rPr>
        <w:t xml:space="preserve"> Botanical Garden: Implications for Carbon Emission Reduction, North Western Addis Ababa, Ethiopia</w:t>
      </w:r>
    </w:p>
    <w:p>
      <w:pPr>
        <w:pStyle w:val="style0"/>
        <w:autoSpaceDE w:val="false"/>
        <w:autoSpaceDN w:val="false"/>
        <w:adjustRightInd w:val="false"/>
        <w:spacing w:after="0" w:lineRule="auto" w:line="360"/>
        <w:jc w:val="center"/>
        <w:rPr>
          <w:rFonts w:ascii="Times New Roman" w:hAnsi="Times New Roman"/>
          <w:i/>
          <w:sz w:val="24"/>
          <w:szCs w:val="24"/>
        </w:rPr>
      </w:pPr>
      <w:r>
        <w:rPr>
          <w:rFonts w:ascii="Times New Roman" w:hAnsi="Times New Roman"/>
          <w:i/>
          <w:sz w:val="24"/>
          <w:szCs w:val="24"/>
        </w:rPr>
        <w:t>Habtamu</w:t>
      </w:r>
      <w:r>
        <w:rPr>
          <w:rFonts w:ascii="Times New Roman" w:hAnsi="Times New Roman"/>
          <w:i/>
          <w:sz w:val="24"/>
          <w:szCs w:val="24"/>
        </w:rPr>
        <w:t xml:space="preserve"> </w:t>
      </w:r>
      <w:r>
        <w:rPr>
          <w:rFonts w:ascii="Times New Roman" w:hAnsi="Times New Roman"/>
          <w:i/>
          <w:sz w:val="24"/>
          <w:szCs w:val="24"/>
        </w:rPr>
        <w:t>Agonafir</w:t>
      </w:r>
      <w:r>
        <w:rPr>
          <w:rFonts w:ascii="Times New Roman" w:hAnsi="Times New Roman"/>
          <w:i/>
          <w:sz w:val="24"/>
          <w:szCs w:val="24"/>
        </w:rPr>
        <w:t xml:space="preserve">, </w:t>
      </w:r>
      <w:r>
        <w:rPr>
          <w:rFonts w:ascii="Times New Roman" w:hAnsi="Times New Roman"/>
          <w:i/>
          <w:sz w:val="24"/>
          <w:szCs w:val="24"/>
        </w:rPr>
        <w:t>Melese</w:t>
      </w:r>
      <w:r>
        <w:rPr>
          <w:rFonts w:ascii="Times New Roman" w:hAnsi="Times New Roman"/>
          <w:i/>
          <w:sz w:val="24"/>
          <w:szCs w:val="24"/>
        </w:rPr>
        <w:t xml:space="preserve"> </w:t>
      </w:r>
      <w:r>
        <w:rPr>
          <w:rFonts w:ascii="Times New Roman" w:hAnsi="Times New Roman"/>
          <w:i/>
          <w:sz w:val="24"/>
          <w:szCs w:val="24"/>
        </w:rPr>
        <w:t>Worku</w:t>
      </w:r>
      <w:r>
        <w:rPr>
          <w:rFonts w:ascii="Times New Roman" w:hAnsi="Times New Roman"/>
          <w:i/>
          <w:sz w:val="24"/>
          <w:szCs w:val="24"/>
        </w:rPr>
        <w:t xml:space="preserve"> </w:t>
      </w:r>
    </w:p>
    <w:p>
      <w:pPr>
        <w:pStyle w:val="style0"/>
        <w:widowControl w:val="false"/>
        <w:autoSpaceDE w:val="false"/>
        <w:autoSpaceDN w:val="false"/>
        <w:adjustRightInd w:val="false"/>
        <w:spacing w:after="0" w:lineRule="auto" w:line="240"/>
        <w:jc w:val="center"/>
        <w:rPr>
          <w:rFonts w:ascii="Times New Roman" w:hAnsi="Times New Roman"/>
          <w:sz w:val="24"/>
          <w:szCs w:val="24"/>
        </w:rPr>
      </w:pPr>
      <w:r>
        <w:rPr>
          <w:rFonts w:ascii="Times New Roman" w:hAnsi="Times New Roman"/>
          <w:sz w:val="24"/>
          <w:szCs w:val="24"/>
        </w:rPr>
        <w:t>Deber</w:t>
      </w:r>
      <w:r>
        <w:rPr>
          <w:rFonts w:ascii="Times New Roman" w:hAnsi="Times New Roman"/>
          <w:sz w:val="24"/>
          <w:szCs w:val="24"/>
        </w:rPr>
        <w:t xml:space="preserve"> Tabor University Faculty of Agricul</w:t>
      </w:r>
      <w:r>
        <w:rPr>
          <w:rFonts w:ascii="Times New Roman" w:hAnsi="Times New Roman"/>
          <w:sz w:val="24"/>
          <w:szCs w:val="24"/>
        </w:rPr>
        <w:t>ture and Environmental Sciences.</w:t>
      </w:r>
    </w:p>
    <w:p>
      <w:pPr>
        <w:pStyle w:val="style0"/>
        <w:widowControl w:val="false"/>
        <w:autoSpaceDE w:val="false"/>
        <w:autoSpaceDN w:val="false"/>
        <w:adjustRightInd w:val="false"/>
        <w:spacing w:after="0" w:lineRule="auto" w:line="240"/>
        <w:jc w:val="center"/>
        <w:rPr>
          <w:rFonts w:ascii="Times New Roman" w:hAnsi="Times New Roman"/>
          <w:i/>
          <w:sz w:val="24"/>
          <w:szCs w:val="24"/>
        </w:rPr>
      </w:pPr>
      <w:r>
        <w:rPr>
          <w:rFonts w:ascii="Times New Roman" w:hAnsi="Times New Roman"/>
          <w:sz w:val="24"/>
          <w:szCs w:val="24"/>
        </w:rPr>
        <w:t xml:space="preserve"> </w:t>
      </w:r>
      <w:r>
        <w:rPr>
          <w:rFonts w:ascii="Times New Roman" w:hAnsi="Times New Roman"/>
          <w:sz w:val="24"/>
          <w:szCs w:val="24"/>
        </w:rPr>
        <w:t>Deber</w:t>
      </w:r>
      <w:r>
        <w:rPr>
          <w:rFonts w:ascii="Times New Roman" w:hAnsi="Times New Roman"/>
          <w:sz w:val="24"/>
          <w:szCs w:val="24"/>
        </w:rPr>
        <w:t xml:space="preserve"> Tabor, Ethiopia </w:t>
      </w:r>
    </w:p>
    <w:p>
      <w:pPr>
        <w:pStyle w:val="style0"/>
        <w:autoSpaceDE w:val="false"/>
        <w:autoSpaceDN w:val="false"/>
        <w:adjustRightInd w:val="false"/>
        <w:spacing w:after="0"/>
        <w:jc w:val="center"/>
        <w:rPr>
          <w:rFonts w:ascii="Times New Roman" w:hAnsi="Times New Roman"/>
          <w:i/>
          <w:sz w:val="28"/>
          <w:szCs w:val="24"/>
        </w:rPr>
      </w:pPr>
      <w:r>
        <w:rPr>
          <w:rFonts w:ascii="Times New Roman" w:hAnsi="Times New Roman"/>
          <w:i/>
          <w:sz w:val="24"/>
          <w:szCs w:val="24"/>
        </w:rPr>
        <w:t xml:space="preserve"> </w:t>
      </w:r>
      <w:bookmarkStart w:id="0" w:name="_Toc331409460"/>
      <w:r>
        <w:rPr>
          <w:rFonts w:ascii="Times New Roman" w:hAnsi="Times New Roman"/>
          <w:b/>
          <w:sz w:val="28"/>
          <w:szCs w:val="24"/>
        </w:rPr>
        <w:t>Abstract</w:t>
      </w:r>
      <w:bookmarkEnd w:id="0"/>
    </w:p>
    <w:p>
      <w:pPr>
        <w:pStyle w:val="style0"/>
        <w:autoSpaceDE w:val="false"/>
        <w:autoSpaceDN w:val="false"/>
        <w:adjustRightInd w:val="false"/>
        <w:spacing w:after="0"/>
        <w:jc w:val="both"/>
        <w:rPr>
          <w:rFonts w:ascii="Times New Roman" w:hAnsi="Times New Roman"/>
          <w:i/>
          <w:color w:val="000000"/>
          <w:szCs w:val="24"/>
        </w:rPr>
      </w:pPr>
      <w:r>
        <w:rPr>
          <w:rFonts w:ascii="Times New Roman" w:hAnsi="Times New Roman"/>
          <w:i/>
          <w:sz w:val="24"/>
          <w:szCs w:val="24"/>
        </w:rPr>
        <w:t xml:space="preserve">This study was aimed to examine the carbon </w:t>
      </w:r>
      <w:r>
        <w:rPr>
          <w:rFonts w:ascii="Times New Roman" w:hAnsi="Times New Roman"/>
          <w:bCs/>
          <w:i/>
          <w:color w:val="000000"/>
          <w:sz w:val="24"/>
          <w:szCs w:val="24"/>
        </w:rPr>
        <w:t xml:space="preserve">Stock in the </w:t>
      </w:r>
      <w:r>
        <w:rPr>
          <w:rFonts w:ascii="Times New Roman" w:hAnsi="Times New Roman"/>
          <w:bCs/>
          <w:i/>
          <w:color w:val="000000"/>
          <w:sz w:val="24"/>
          <w:szCs w:val="24"/>
        </w:rPr>
        <w:t>Gullele</w:t>
      </w:r>
      <w:r>
        <w:rPr>
          <w:rFonts w:ascii="Times New Roman" w:hAnsi="Times New Roman"/>
          <w:bCs/>
          <w:i/>
          <w:color w:val="000000"/>
          <w:sz w:val="24"/>
          <w:szCs w:val="24"/>
        </w:rPr>
        <w:t xml:space="preserve"> Botanical Garden</w:t>
      </w:r>
      <w:r>
        <w:rPr>
          <w:rFonts w:ascii="Times New Roman" w:hAnsi="Times New Roman"/>
          <w:i/>
          <w:sz w:val="24"/>
          <w:szCs w:val="24"/>
        </w:rPr>
        <w:t xml:space="preserve">. To meet the objective of the research, </w:t>
      </w:r>
      <w:r>
        <w:rPr>
          <w:rFonts w:ascii="Times New Roman" w:hAnsi="Times New Roman"/>
          <w:i/>
          <w:color w:val="000000"/>
          <w:sz w:val="24"/>
          <w:szCs w:val="24"/>
        </w:rPr>
        <w:t>the study was entirely based on quantitative study design by considering 60 sample plot i.e., 10*20 m</w:t>
      </w:r>
      <w:r>
        <w:rPr>
          <w:rFonts w:ascii="Times New Roman" w:hAnsi="Times New Roman"/>
          <w:i/>
          <w:color w:val="000000"/>
          <w:sz w:val="24"/>
          <w:szCs w:val="24"/>
          <w:vertAlign w:val="superscript"/>
        </w:rPr>
        <w:t>2</w:t>
      </w:r>
      <w:r>
        <w:rPr>
          <w:rFonts w:ascii="Times New Roman" w:hAnsi="Times New Roman"/>
          <w:i/>
          <w:color w:val="000000"/>
          <w:sz w:val="24"/>
          <w:szCs w:val="24"/>
        </w:rPr>
        <w:t xml:space="preserve"> which was systematically  located at every 600m vertical height and 300m horizontal width in the Garden. </w:t>
      </w:r>
      <w:r>
        <w:rPr>
          <w:rFonts w:ascii="Times New Roman" w:hAnsi="Times New Roman"/>
          <w:i/>
          <w:sz w:val="24"/>
          <w:szCs w:val="24"/>
        </w:rPr>
        <w:t xml:space="preserve">The results shown </w:t>
      </w:r>
      <w:r>
        <w:rPr>
          <w:rFonts w:ascii="Times New Roman" w:hAnsi="Times New Roman" w:eastAsiaTheme="minorHAnsi"/>
          <w:i/>
          <w:color w:val="000000"/>
          <w:sz w:val="24"/>
          <w:szCs w:val="24"/>
        </w:rPr>
        <w:t xml:space="preserve">the maximum carbon per tree is </w:t>
      </w:r>
      <w:r>
        <w:rPr>
          <w:rFonts w:ascii="Times New Roman" w:hAnsi="Times New Roman"/>
          <w:i/>
          <w:color w:val="000000"/>
          <w:sz w:val="24"/>
          <w:szCs w:val="24"/>
        </w:rPr>
        <w:t xml:space="preserve">37.84 tones for 2.9% of </w:t>
      </w:r>
      <w:r>
        <w:rPr>
          <w:rFonts w:ascii="Times New Roman" w:eastAsia="Times New Roman" w:hAnsi="Times New Roman"/>
          <w:i/>
          <w:color w:val="000000"/>
          <w:sz w:val="24"/>
          <w:szCs w:val="24"/>
        </w:rPr>
        <w:t xml:space="preserve">Eucalyptus globules and </w:t>
      </w:r>
      <w:r>
        <w:rPr>
          <w:rFonts w:ascii="Times New Roman" w:eastAsia="Times New Roman" w:hAnsi="Times New Roman"/>
          <w:i/>
          <w:color w:val="000000"/>
          <w:sz w:val="24"/>
          <w:szCs w:val="24"/>
        </w:rPr>
        <w:t>Juniperus</w:t>
      </w:r>
      <w:r>
        <w:rPr>
          <w:rFonts w:ascii="Times New Roman" w:eastAsia="Times New Roman" w:hAnsi="Times New Roman"/>
          <w:i/>
          <w:color w:val="000000"/>
          <w:sz w:val="24"/>
          <w:szCs w:val="24"/>
        </w:rPr>
        <w:t xml:space="preserve"> </w:t>
      </w:r>
      <w:r>
        <w:rPr>
          <w:rFonts w:ascii="Times New Roman" w:eastAsia="Times New Roman" w:hAnsi="Times New Roman"/>
          <w:i/>
          <w:color w:val="000000"/>
          <w:sz w:val="24"/>
          <w:szCs w:val="24"/>
        </w:rPr>
        <w:t>procera</w:t>
      </w:r>
      <w:r>
        <w:rPr>
          <w:rFonts w:ascii="Times New Roman" w:eastAsia="Times New Roman" w:hAnsi="Times New Roman"/>
          <w:i/>
          <w:color w:val="000000"/>
          <w:sz w:val="24"/>
          <w:szCs w:val="24"/>
        </w:rPr>
        <w:t xml:space="preserve">. This indicates </w:t>
      </w:r>
      <w:r>
        <w:rPr>
          <w:rFonts w:ascii="Times New Roman" w:hAnsi="Times New Roman"/>
          <w:i/>
          <w:color w:val="000000"/>
          <w:sz w:val="24"/>
          <w:szCs w:val="24"/>
        </w:rPr>
        <w:t xml:space="preserve">planting one tree could be sinking 0.56 </w:t>
      </w:r>
      <w:r>
        <w:rPr>
          <w:rFonts w:ascii="Times New Roman" w:hAnsi="Times New Roman"/>
          <w:i/>
          <w:color w:val="000000"/>
          <w:sz w:val="24"/>
          <w:szCs w:val="24"/>
          <w:u w:val="single"/>
        </w:rPr>
        <w:t>+</w:t>
      </w:r>
      <w:r>
        <w:rPr>
          <w:rFonts w:ascii="Times New Roman" w:hAnsi="Times New Roman"/>
          <w:i/>
          <w:color w:val="000000"/>
          <w:sz w:val="24"/>
          <w:szCs w:val="24"/>
        </w:rPr>
        <w:t xml:space="preserve"> 1.71 SD tones mean carbon in the above ground biomasses.  In addition, the litter carbon concentration analyzed i</w:t>
      </w:r>
      <w:bookmarkStart w:id="1" w:name="_GoBack"/>
      <w:bookmarkEnd w:id="1"/>
      <w:r>
        <w:rPr>
          <w:rFonts w:ascii="Times New Roman" w:hAnsi="Times New Roman"/>
          <w:i/>
          <w:color w:val="000000"/>
          <w:sz w:val="24"/>
          <w:szCs w:val="24"/>
        </w:rPr>
        <w:t>n the laboratory was 54.67 % maximum and 47.71% minimum per sample with mean carbon stock of 59.78%. Whereas, the analysis of  soil organic carbon, The laboratory result had shown .3% minimum and 12.6% maximum soil organic carbon, while 121.49 t ha</w:t>
      </w:r>
      <w:r>
        <w:rPr>
          <w:rFonts w:ascii="Times New Roman" w:hAnsi="Times New Roman"/>
          <w:i/>
          <w:color w:val="000000"/>
          <w:sz w:val="24"/>
          <w:szCs w:val="24"/>
          <w:vertAlign w:val="superscript"/>
        </w:rPr>
        <w:t>-1</w:t>
      </w:r>
      <w:r>
        <w:rPr>
          <w:rFonts w:ascii="Times New Roman" w:hAnsi="Times New Roman"/>
          <w:i/>
          <w:color w:val="000000"/>
          <w:sz w:val="24"/>
          <w:szCs w:val="24"/>
        </w:rPr>
        <w:t xml:space="preserve"> maximum and 2.67 t ha</w:t>
      </w:r>
      <w:r>
        <w:rPr>
          <w:rFonts w:ascii="Times New Roman" w:hAnsi="Times New Roman"/>
          <w:i/>
          <w:color w:val="000000"/>
          <w:sz w:val="24"/>
          <w:szCs w:val="24"/>
          <w:vertAlign w:val="superscript"/>
        </w:rPr>
        <w:t>-1</w:t>
      </w:r>
      <w:r>
        <w:rPr>
          <w:rFonts w:ascii="Times New Roman" w:hAnsi="Times New Roman"/>
          <w:i/>
          <w:color w:val="000000"/>
          <w:sz w:val="24"/>
          <w:szCs w:val="24"/>
        </w:rPr>
        <w:t xml:space="preserve"> minimum value carbon stocks were recorded. Accordingly, </w:t>
      </w:r>
      <w:r>
        <w:rPr>
          <w:rFonts w:ascii="Times New Roman" w:hAnsi="Times New Roman" w:eastAsiaTheme="minorHAnsi"/>
          <w:i/>
          <w:color w:val="000000"/>
          <w:sz w:val="24"/>
          <w:szCs w:val="24"/>
        </w:rPr>
        <w:t xml:space="preserve">37.2608 </w:t>
      </w:r>
      <w:r>
        <w:rPr>
          <w:rFonts w:ascii="Times New Roman" w:hAnsi="Times New Roman"/>
          <w:i/>
          <w:color w:val="000000"/>
          <w:sz w:val="24"/>
          <w:szCs w:val="24"/>
          <w:u w:val="single"/>
        </w:rPr>
        <w:t>+</w:t>
      </w:r>
      <w:r>
        <w:rPr>
          <w:rFonts w:ascii="Times New Roman" w:hAnsi="Times New Roman"/>
          <w:i/>
          <w:color w:val="000000"/>
          <w:sz w:val="24"/>
          <w:szCs w:val="24"/>
        </w:rPr>
        <w:t xml:space="preserve"> </w:t>
      </w:r>
      <w:r>
        <w:rPr>
          <w:rFonts w:ascii="Times New Roman" w:hAnsi="Times New Roman" w:eastAsiaTheme="minorHAnsi"/>
          <w:i/>
          <w:color w:val="000000"/>
          <w:sz w:val="24"/>
          <w:szCs w:val="24"/>
        </w:rPr>
        <w:t xml:space="preserve">19.65541t </w:t>
      </w:r>
      <w:r>
        <w:rPr>
          <w:rFonts w:ascii="Times New Roman" w:hAnsi="Times New Roman"/>
          <w:i/>
          <w:color w:val="000000"/>
          <w:sz w:val="24"/>
          <w:szCs w:val="24"/>
        </w:rPr>
        <w:t>ha</w:t>
      </w:r>
      <w:r>
        <w:rPr>
          <w:rFonts w:ascii="Times New Roman" w:hAnsi="Times New Roman"/>
          <w:i/>
          <w:color w:val="000000"/>
          <w:sz w:val="24"/>
          <w:szCs w:val="24"/>
          <w:vertAlign w:val="superscript"/>
        </w:rPr>
        <w:t>-1</w:t>
      </w:r>
      <w:r>
        <w:rPr>
          <w:rFonts w:ascii="Times New Roman" w:hAnsi="Times New Roman"/>
          <w:i/>
          <w:color w:val="000000"/>
          <w:sz w:val="24"/>
          <w:szCs w:val="24"/>
        </w:rPr>
        <w:t xml:space="preserve"> mean carbon stock Captured in soils, this indicates mean carbon captured in the soil pool was relatively greater than the other pools.  Moreover CO</w:t>
      </w:r>
      <w:r>
        <w:rPr>
          <w:rFonts w:ascii="Times New Roman" w:hAnsi="Times New Roman"/>
          <w:i/>
          <w:color w:val="000000"/>
          <w:sz w:val="24"/>
          <w:szCs w:val="24"/>
          <w:vertAlign w:val="subscript"/>
        </w:rPr>
        <w:t xml:space="preserve">2 </w:t>
      </w:r>
      <w:r>
        <w:rPr>
          <w:rFonts w:ascii="Times New Roman" w:hAnsi="Times New Roman"/>
          <w:i/>
          <w:color w:val="000000"/>
          <w:sz w:val="24"/>
          <w:szCs w:val="24"/>
        </w:rPr>
        <w:t xml:space="preserve">equivalent valves showed the same trend as soil organic carbon which was </w:t>
      </w:r>
      <w:r>
        <w:rPr>
          <w:rFonts w:ascii="Times New Roman" w:hAnsi="Times New Roman" w:eastAsiaTheme="minorHAnsi"/>
          <w:i/>
          <w:color w:val="000000"/>
          <w:sz w:val="24"/>
          <w:szCs w:val="24"/>
        </w:rPr>
        <w:t>445.45</w:t>
      </w:r>
      <w:r>
        <w:rPr>
          <w:rFonts w:ascii="Times New Roman" w:hAnsi="Times New Roman"/>
          <w:i/>
          <w:color w:val="000000"/>
          <w:sz w:val="24"/>
          <w:szCs w:val="24"/>
        </w:rPr>
        <w:t>t ha</w:t>
      </w:r>
      <w:r>
        <w:rPr>
          <w:rFonts w:ascii="Times New Roman" w:hAnsi="Times New Roman"/>
          <w:i/>
          <w:color w:val="000000"/>
          <w:sz w:val="24"/>
          <w:szCs w:val="24"/>
          <w:vertAlign w:val="superscript"/>
        </w:rPr>
        <w:t>-1</w:t>
      </w:r>
      <w:r>
        <w:rPr>
          <w:rFonts w:ascii="Times New Roman" w:hAnsi="Times New Roman"/>
          <w:i/>
          <w:color w:val="000000"/>
          <w:sz w:val="24"/>
          <w:szCs w:val="24"/>
        </w:rPr>
        <w:t xml:space="preserve"> maximum and </w:t>
      </w:r>
      <w:r>
        <w:rPr>
          <w:rFonts w:ascii="Times New Roman" w:hAnsi="Times New Roman" w:eastAsiaTheme="minorHAnsi"/>
          <w:i/>
          <w:color w:val="000000"/>
          <w:sz w:val="24"/>
          <w:szCs w:val="24"/>
        </w:rPr>
        <w:t>9.79</w:t>
      </w:r>
      <w:r>
        <w:rPr>
          <w:rFonts w:ascii="Times New Roman" w:hAnsi="Times New Roman"/>
          <w:i/>
          <w:color w:val="000000"/>
          <w:sz w:val="24"/>
          <w:szCs w:val="24"/>
        </w:rPr>
        <w:t>t ha</w:t>
      </w:r>
      <w:r>
        <w:rPr>
          <w:rFonts w:ascii="Times New Roman" w:hAnsi="Times New Roman"/>
          <w:i/>
          <w:color w:val="000000"/>
          <w:sz w:val="24"/>
          <w:szCs w:val="24"/>
          <w:vertAlign w:val="superscript"/>
        </w:rPr>
        <w:t xml:space="preserve">-1 </w:t>
      </w:r>
      <w:r>
        <w:rPr>
          <w:rFonts w:ascii="Times New Roman" w:hAnsi="Times New Roman"/>
          <w:i/>
          <w:color w:val="000000"/>
          <w:sz w:val="24"/>
          <w:szCs w:val="24"/>
        </w:rPr>
        <w:t xml:space="preserve">minimum value sequestered in the soils. Comparatively, the lowest carbon stock is found in dead litter pool while the highest carbon stock found in soil pool i.e., soil pool 61.19%, above ground biomass pool 28.09 %, below ground biomass pool 5.62 % and dead litter pool 5.10 %  which is in conformity with the already established knowledge. </w:t>
      </w:r>
      <w:r>
        <w:rPr>
          <w:rFonts w:ascii="Times New Roman" w:hAnsi="Times New Roman"/>
          <w:i/>
          <w:sz w:val="24"/>
          <w:szCs w:val="24"/>
        </w:rPr>
        <w:t>Thus, Undertaking different studies considering such issues have paramount importance for carbon trade, climate change mitigation and fund attraction. Consequently, intensifying indigenous knowledge for biodiversity conservation, climate change mitigation and urban greening option is very important in enhancing carbon sequestration potentials</w:t>
      </w:r>
      <w:r>
        <w:rPr>
          <w:rFonts w:ascii="Times New Roman" w:hAnsi="Times New Roman"/>
          <w:i/>
          <w:sz w:val="24"/>
          <w:szCs w:val="24"/>
        </w:rPr>
        <w:t>.</w:t>
      </w:r>
    </w:p>
    <w:p>
      <w:pPr>
        <w:pStyle w:val="style0"/>
        <w:spacing w:after="0" w:lineRule="auto" w:line="240"/>
        <w:contextualSpacing/>
        <w:rPr>
          <w:rFonts w:ascii="Times New Roman" w:hAnsi="Times New Roman"/>
          <w:i/>
          <w:sz w:val="28"/>
          <w:szCs w:val="28"/>
        </w:rPr>
      </w:pPr>
      <w:r>
        <w:rPr>
          <w:rFonts w:ascii="Times New Roman" w:hAnsi="Times New Roman"/>
          <w:b/>
          <w:i/>
          <w:sz w:val="28"/>
          <w:szCs w:val="28"/>
        </w:rPr>
        <w:t>Key words:</w:t>
      </w:r>
      <w:r>
        <w:rPr>
          <w:rFonts w:ascii="Times New Roman" w:hAnsi="Times New Roman"/>
          <w:i/>
          <w:sz w:val="28"/>
          <w:szCs w:val="28"/>
        </w:rPr>
        <w:t xml:space="preserve"> </w:t>
      </w:r>
      <w:r>
        <w:rPr>
          <w:rFonts w:ascii="Times New Roman" w:hAnsi="Times New Roman"/>
          <w:i/>
          <w:sz w:val="24"/>
          <w:szCs w:val="24"/>
        </w:rPr>
        <w:t xml:space="preserve">Biomass, Carbon stock, Carbon Stock equivalent, DBH, </w:t>
      </w:r>
      <w:r>
        <w:rPr>
          <w:rFonts w:ascii="Times New Roman" w:hAnsi="Times New Roman"/>
          <w:i/>
          <w:sz w:val="24"/>
          <w:szCs w:val="24"/>
        </w:rPr>
        <w:t>Gullele</w:t>
      </w:r>
      <w:r>
        <w:rPr>
          <w:rFonts w:ascii="Times New Roman" w:hAnsi="Times New Roman"/>
          <w:i/>
          <w:sz w:val="24"/>
          <w:szCs w:val="24"/>
        </w:rPr>
        <w:t xml:space="preserve"> Botanical Garden</w:t>
      </w:r>
      <w:r>
        <w:rPr>
          <w:rFonts w:ascii="Times New Roman" w:hAnsi="Times New Roman"/>
          <w:i/>
          <w:sz w:val="28"/>
          <w:szCs w:val="28"/>
        </w:rPr>
        <w:t xml:space="preserve"> </w:t>
      </w:r>
    </w:p>
    <w:p>
      <w:pPr>
        <w:pStyle w:val="style0"/>
        <w:spacing w:after="0" w:lineRule="auto" w:line="240"/>
        <w:contextualSpacing/>
        <w:rPr>
          <w:rFonts w:ascii="Times New Roman" w:hAnsi="Times New Roman"/>
          <w:sz w:val="24"/>
          <w:szCs w:val="24"/>
        </w:rPr>
      </w:pPr>
      <w:r>
        <w:rPr>
          <w:rFonts w:ascii="Times New Roman" w:hAnsi="Times New Roman"/>
          <w:sz w:val="24"/>
          <w:szCs w:val="24"/>
        </w:rPr>
        <w:t>Deber</w:t>
      </w:r>
      <w:r>
        <w:rPr>
          <w:rFonts w:ascii="Times New Roman" w:hAnsi="Times New Roman"/>
          <w:sz w:val="24"/>
          <w:szCs w:val="24"/>
        </w:rPr>
        <w:t xml:space="preserve"> Tabor University Faculty of Agriculture and Environmental Sciences </w:t>
      </w:r>
    </w:p>
    <w:p>
      <w:pPr>
        <w:pStyle w:val="style0"/>
        <w:spacing w:after="0" w:lineRule="auto" w:line="240"/>
        <w:contextualSpacing/>
        <w:rPr>
          <w:rFonts w:ascii="Times New Roman" w:hAnsi="Times New Roman"/>
          <w:sz w:val="24"/>
          <w:szCs w:val="24"/>
        </w:rPr>
      </w:pPr>
      <w:r>
        <w:rPr>
          <w:rFonts w:ascii="Times New Roman" w:hAnsi="Times New Roman"/>
          <w:color w:val="000000"/>
          <w:sz w:val="24"/>
          <w:szCs w:val="24"/>
        </w:rPr>
        <w:t xml:space="preserve">Tel.: </w:t>
      </w:r>
      <w:r>
        <w:rPr>
          <w:rFonts w:ascii="Times New Roman" w:hAnsi="Times New Roman"/>
          <w:color w:val="000000"/>
          <w:sz w:val="24"/>
          <w:szCs w:val="24"/>
          <w:u w:val="single"/>
        </w:rPr>
        <w:t>+2519</w:t>
      </w:r>
      <w:r>
        <w:rPr>
          <w:rFonts w:ascii="Times New Roman" w:hAnsi="Times New Roman"/>
          <w:sz w:val="24"/>
          <w:szCs w:val="24"/>
          <w:u w:val="single"/>
        </w:rPr>
        <w:t>1</w:t>
      </w:r>
      <w:r>
        <w:rPr>
          <w:rFonts w:ascii="Times New Roman" w:hAnsi="Times New Roman"/>
          <w:sz w:val="24"/>
          <w:szCs w:val="24"/>
          <w:u w:val="single"/>
        </w:rPr>
        <w:t>1762046</w:t>
      </w:r>
    </w:p>
    <w:p>
      <w:pPr>
        <w:pStyle w:val="style0"/>
        <w:widowControl w:val="false"/>
        <w:autoSpaceDE w:val="false"/>
        <w:autoSpaceDN w:val="false"/>
        <w:adjustRightInd w:val="false"/>
        <w:spacing w:after="0" w:lineRule="auto" w:line="240"/>
        <w:jc w:val="both"/>
        <w:rPr>
          <w:rFonts w:ascii="Times New Roman" w:hAnsi="Times New Roman"/>
          <w:sz w:val="24"/>
          <w:szCs w:val="24"/>
        </w:rPr>
      </w:pPr>
      <w:r>
        <w:rPr>
          <w:rFonts w:ascii="Times New Roman" w:hAnsi="Times New Roman"/>
          <w:color w:val="000000"/>
          <w:sz w:val="24"/>
          <w:szCs w:val="24"/>
        </w:rPr>
        <w:t>E-mail</w:t>
      </w:r>
      <w:r>
        <w:rPr>
          <w:rFonts w:ascii="Times New Roman" w:hAnsi="Times New Roman"/>
          <w:color w:val="000000"/>
          <w:sz w:val="24"/>
          <w:szCs w:val="24"/>
        </w:rPr>
        <w:t>; melese1980</w:t>
      </w:r>
      <w:r>
        <w:rPr>
          <w:rFonts w:ascii="Times New Roman" w:hAnsi="Times New Roman"/>
          <w:sz w:val="24"/>
          <w:szCs w:val="24"/>
          <w:u w:val="single"/>
        </w:rPr>
        <w:t>@gmail.com</w:t>
      </w:r>
      <w:r>
        <w:rPr>
          <w:rFonts w:ascii="Times New Roman" w:hAnsi="Times New Roman"/>
          <w:sz w:val="24"/>
          <w:szCs w:val="24"/>
        </w:rPr>
        <w:t xml:space="preserve"> </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4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Calibri" w:cs="Times New Roman" w:eastAsia="Calibri" w:hAnsi="Calibri"/>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356</Words>
  <Characters>2025</Characters>
  <Application>WPS Office</Application>
  <DocSecurity>0</DocSecurity>
  <Paragraphs>11</Paragraphs>
  <ScaleCrop>false</ScaleCrop>
  <LinksUpToDate>false</LinksUpToDate>
  <CharactersWithSpaces>2383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2017-07-28T18:04:16Z</dcterms:created>
  <dc:creator>user</dc:creator>
  <lastModifiedBy>DP7CPRO</lastModifiedBy>
  <dcterms:modified xsi:type="dcterms:W3CDTF">2017-07-28T18:04:16Z</dcterms:modified>
  <revision>2</revision>
</coreProperties>
</file>