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ED7F95" w:rsidP="00494130">
      <w:pPr>
        <w:pStyle w:val="Heading1"/>
        <w:spacing w:before="170"/>
        <w:ind w:left="0"/>
      </w:pPr>
      <w:r>
        <w:rPr>
          <w:color w:val="337AB7"/>
        </w:rPr>
        <w:t>On the correlation structure between surface soil moisture and vegetation water content with global carbon fluxes</w:t>
      </w:r>
    </w:p>
    <w:p w:rsidR="005973B9" w:rsidRDefault="00D721A0" w:rsidP="005973B9">
      <w:pPr>
        <w:pStyle w:val="BodyText"/>
        <w:spacing w:before="73" w:line="198" w:lineRule="exact"/>
        <w:ind w:left="100" w:right="5987"/>
        <w:rPr>
          <w:rFonts w:ascii="Arial"/>
        </w:rPr>
      </w:pPr>
      <w:r>
        <w:rPr>
          <w:rFonts w:ascii="Arial"/>
        </w:rPr>
        <w:t>Khaled Ghannam, Ph.D.</w:t>
      </w:r>
    </w:p>
    <w:p w:rsidR="00AE3E37" w:rsidRDefault="00ED7F95" w:rsidP="00ED7F95">
      <w:pPr>
        <w:pStyle w:val="BodyText"/>
        <w:spacing w:before="73" w:line="198" w:lineRule="exact"/>
        <w:ind w:left="100" w:right="5987"/>
        <w:rPr>
          <w:rFonts w:ascii="Arial"/>
        </w:rPr>
      </w:pPr>
      <w:r>
        <w:rPr>
          <w:rFonts w:ascii="Arial"/>
        </w:rPr>
        <w:t xml:space="preserve">Current affiliation: Nicholas School of the Environment, Duke University, 450 Research </w:t>
      </w:r>
      <w:proofErr w:type="spellStart"/>
      <w:r>
        <w:rPr>
          <w:rFonts w:ascii="Arial"/>
        </w:rPr>
        <w:t>Dr</w:t>
      </w:r>
      <w:proofErr w:type="spellEnd"/>
      <w:r>
        <w:rPr>
          <w:rFonts w:ascii="Arial"/>
        </w:rPr>
        <w:t>, Durham, NC, USA 27708</w:t>
      </w:r>
    </w:p>
    <w:p w:rsidR="00ED7F95" w:rsidRPr="00ED7F95" w:rsidRDefault="00ED7F95" w:rsidP="00ED7F95">
      <w:pPr>
        <w:pStyle w:val="BodyText"/>
        <w:spacing w:before="73" w:line="198" w:lineRule="exact"/>
        <w:ind w:left="100" w:right="5987"/>
        <w:rPr>
          <w:rFonts w:ascii="Arial"/>
        </w:rPr>
      </w:pPr>
      <w:r w:rsidRPr="00ED7F95">
        <w:rPr>
          <w:rFonts w:ascii="Arial"/>
        </w:rPr>
        <w:t>Affiliation starting in August 2017: Department of Civil and</w:t>
      </w:r>
      <w:r>
        <w:rPr>
          <w:rFonts w:ascii="Arial"/>
        </w:rPr>
        <w:t xml:space="preserve"> Environmental Engineering, Princeton University, Princeton, NJ, USA </w:t>
      </w:r>
      <w:r>
        <w:rPr>
          <w:rFonts w:ascii="Arial" w:hAnsi="Arial" w:cs="Arial"/>
          <w:color w:val="222222"/>
          <w:sz w:val="20"/>
          <w:szCs w:val="20"/>
          <w:shd w:val="clear" w:color="auto" w:fill="FFFFFF"/>
        </w:rPr>
        <w:t>08544</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rsidRPr="00D721A0">
        <w:rPr>
          <w:b/>
        </w:rPr>
        <w:t>Statement of the Problem</w:t>
      </w:r>
      <w:r>
        <w:t xml:space="preserve">: </w:t>
      </w:r>
      <w:r w:rsidR="009F7315">
        <w:t>The anticipated increase in the frequency and severity of droughts across the globe will intensify water stress on terrestrial ecosystems and hence on food security. Regional land surface and global climate models largely rely on satellite remotely sensed surface soil moisture (typically the top 5 cm of the soil) to predict vegetation response (carbon uptake) to water stress, or otherwise to characterize land surface fluxes. Ideally, however, the deeper soil layer root-zone moisture reflected by nighttime vegetation water content is the correct measure of such feedbacks. Differences in rooting depth and vegetation plant functional types (crops, forests, grasslands, etc.) also play an important role in dictating</w:t>
      </w:r>
      <w:r w:rsidR="001C6584">
        <w:t xml:space="preserve"> where and when the fluctuations in vegetation water content can be more predictive of carbon fluxes than the surface soil moisture. </w:t>
      </w:r>
      <w:r w:rsidR="009952BF" w:rsidRPr="009952BF">
        <w:rPr>
          <w:b/>
        </w:rPr>
        <w:t xml:space="preserve">Data and </w:t>
      </w:r>
      <w:r w:rsidRPr="009952BF">
        <w:rPr>
          <w:b/>
        </w:rPr>
        <w:t>Methodolog</w:t>
      </w:r>
      <w:r w:rsidR="008756E6" w:rsidRPr="009952BF">
        <w:rPr>
          <w:b/>
        </w:rPr>
        <w:t>y</w:t>
      </w:r>
      <w:r w:rsidR="008756E6" w:rsidRPr="001C6584">
        <w:rPr>
          <w:b/>
        </w:rPr>
        <w:t>:</w:t>
      </w:r>
      <w:r w:rsidR="008756E6">
        <w:t xml:space="preserve"> </w:t>
      </w:r>
      <w:r w:rsidR="001C6584">
        <w:t>In this study,</w:t>
      </w:r>
      <w:r w:rsidR="009952BF">
        <w:t xml:space="preserve"> we compile global data sets of surface soil moisture, vegetation water content, and global carbon fluxes from satellite remote sensing (NOAA’s AVHRR) spanning the years 2002 to 2010. </w:t>
      </w:r>
      <w:r w:rsidR="00CF5EB5">
        <w:t>The data is at high temporal (daily) and spatial (0.25</w:t>
      </w:r>
      <w:r w:rsidR="00CF5EB5">
        <w:rPr>
          <w:vertAlign w:val="superscript"/>
        </w:rPr>
        <w:t>°</w:t>
      </w:r>
      <w:r w:rsidR="00CF5EB5">
        <w:t>x0.25</w:t>
      </w:r>
      <w:r w:rsidR="00CF5EB5">
        <w:rPr>
          <w:vertAlign w:val="superscript"/>
        </w:rPr>
        <w:t>°</w:t>
      </w:r>
      <w:r w:rsidR="00CF5EB5">
        <w:t xml:space="preserve">) resolution allowing the analysis to extend to multiple time scales. </w:t>
      </w:r>
      <w:r w:rsidR="009952BF">
        <w:t>The cor</w:t>
      </w:r>
      <w:r w:rsidR="00CF5EB5">
        <w:t>r</w:t>
      </w:r>
      <w:r w:rsidR="009952BF">
        <w:t>ela</w:t>
      </w:r>
      <w:r w:rsidR="00CF5EB5">
        <w:t>t</w:t>
      </w:r>
      <w:r w:rsidR="009952BF">
        <w:t>ion</w:t>
      </w:r>
      <w:r w:rsidR="00CF5EB5">
        <w:t xml:space="preserve"> structure between surface soil moisture and/or vegetation water content with global carbon uptake </w:t>
      </w:r>
      <w:proofErr w:type="gramStart"/>
      <w:r w:rsidR="00CF5EB5">
        <w:t>is analyzed</w:t>
      </w:r>
      <w:proofErr w:type="gramEnd"/>
      <w:r w:rsidR="00CF5EB5">
        <w:t xml:space="preserve"> across all climatic regimes and plant functional types across the globe. The statistics of mutual information content across several plant physiologic response mechanisms, commonly referred to as isohydric vs anisohydric response </w:t>
      </w:r>
      <w:proofErr w:type="gramStart"/>
      <w:r w:rsidR="00CF5EB5">
        <w:t>is also examined</w:t>
      </w:r>
      <w:proofErr w:type="gramEnd"/>
      <w:r w:rsidR="00CF5EB5">
        <w:t xml:space="preserve">. </w:t>
      </w:r>
      <w:r w:rsidRPr="001C6584">
        <w:rPr>
          <w:b/>
        </w:rPr>
        <w:t>Findings:</w:t>
      </w:r>
      <w:r>
        <w:t xml:space="preserve"> The</w:t>
      </w:r>
      <w:r w:rsidR="00404E5B">
        <w:t xml:space="preserve"> </w:t>
      </w:r>
      <w:r w:rsidR="00CF5EB5">
        <w:t>preliminary results indicate that the tropics (e.g. Amazonia), dominated by isoh</w:t>
      </w:r>
      <w:r w:rsidR="005B3E33">
        <w:t>ydric shallow root plants, tend</w:t>
      </w:r>
      <w:r w:rsidR="00CF5EB5">
        <w:t xml:space="preserve"> to exhibit </w:t>
      </w:r>
      <w:r w:rsidR="005B3E33">
        <w:t>weaker dependence on water content than higher latitudes, with generally vegetation water content having stronger correlation with</w:t>
      </w:r>
      <w:r w:rsidR="002A7FD7">
        <w:t xml:space="preserve"> carbon fluxes. Isohydric plant </w:t>
      </w:r>
      <w:r w:rsidR="005B3E33">
        <w:t xml:space="preserve">species show less dependence on shallow soil moisture, while fluctuations </w:t>
      </w:r>
      <w:r w:rsidR="005B3E33">
        <w:t>in daytime vs nighttime vegetation water content have strong correlation with anisohydric species’ response. This study improves the predictability of global carbon fluxes and proposes the incorporation of vegetation water content as a reliable surrogate of shallow soil moisture in global models.</w:t>
      </w:r>
    </w:p>
    <w:p w:rsidR="005973B9" w:rsidRPr="00D721A0" w:rsidRDefault="005973B9" w:rsidP="00D721A0">
      <w:pPr>
        <w:pStyle w:val="Heading3"/>
        <w:spacing w:before="74"/>
        <w:ind w:left="0"/>
      </w:pPr>
      <w:r>
        <w:rPr>
          <w:color w:val="BF5A14"/>
        </w:rPr>
        <w:br/>
        <w:t>Recent Publications (minimum 5)</w:t>
      </w:r>
    </w:p>
    <w:p w:rsidR="00323116" w:rsidRDefault="00323116" w:rsidP="008F699A">
      <w:pPr>
        <w:pStyle w:val="ListParagraph"/>
        <w:numPr>
          <w:ilvl w:val="0"/>
          <w:numId w:val="3"/>
        </w:numPr>
        <w:tabs>
          <w:tab w:val="left" w:pos="384"/>
        </w:tabs>
        <w:spacing w:before="103" w:line="216" w:lineRule="exact"/>
        <w:ind w:right="137" w:hanging="283"/>
        <w:rPr>
          <w:sz w:val="18"/>
        </w:rPr>
      </w:pPr>
      <w:r w:rsidRPr="00323116">
        <w:rPr>
          <w:b/>
          <w:sz w:val="18"/>
        </w:rPr>
        <w:t>Ghannam, K.</w:t>
      </w:r>
      <w:r w:rsidRPr="00323116">
        <w:rPr>
          <w:sz w:val="18"/>
        </w:rPr>
        <w:t xml:space="preserve">, </w:t>
      </w:r>
      <w:proofErr w:type="spellStart"/>
      <w:r w:rsidRPr="00323116">
        <w:rPr>
          <w:sz w:val="18"/>
        </w:rPr>
        <w:t>Duman</w:t>
      </w:r>
      <w:proofErr w:type="spellEnd"/>
      <w:r w:rsidRPr="00323116">
        <w:rPr>
          <w:sz w:val="18"/>
        </w:rPr>
        <w:t xml:space="preserve">, T., Salesky, S. T., </w:t>
      </w:r>
      <w:proofErr w:type="spellStart"/>
      <w:r w:rsidRPr="00323116">
        <w:rPr>
          <w:sz w:val="18"/>
        </w:rPr>
        <w:t>Chamecki</w:t>
      </w:r>
      <w:proofErr w:type="spellEnd"/>
      <w:r w:rsidRPr="00323116">
        <w:rPr>
          <w:sz w:val="18"/>
        </w:rPr>
        <w:t xml:space="preserve">, M. and Katul, G.G. (2016), </w:t>
      </w:r>
      <w:r>
        <w:rPr>
          <w:sz w:val="18"/>
        </w:rPr>
        <w:t>“</w:t>
      </w:r>
      <w:r w:rsidRPr="00323116">
        <w:rPr>
          <w:sz w:val="18"/>
        </w:rPr>
        <w:t>The non-local character of turbulence asymmetry in the convective atmospheric boundary layer</w:t>
      </w:r>
      <w:r>
        <w:rPr>
          <w:sz w:val="18"/>
        </w:rPr>
        <w:t>”</w:t>
      </w:r>
      <w:r w:rsidRPr="00323116">
        <w:rPr>
          <w:sz w:val="18"/>
        </w:rPr>
        <w:t xml:space="preserve">. </w:t>
      </w:r>
      <w:r w:rsidRPr="00323116">
        <w:rPr>
          <w:i/>
          <w:sz w:val="18"/>
        </w:rPr>
        <w:t>Quarterly Journal of the Royal Meteorological Society</w:t>
      </w:r>
      <w:r w:rsidRPr="00323116">
        <w:rPr>
          <w:sz w:val="18"/>
        </w:rPr>
        <w:t>. doi:10.1002/qj.2937.</w:t>
      </w:r>
    </w:p>
    <w:p w:rsidR="00323116" w:rsidRPr="00323116" w:rsidRDefault="00323116" w:rsidP="00323116">
      <w:pPr>
        <w:pStyle w:val="ListParagraph"/>
        <w:numPr>
          <w:ilvl w:val="0"/>
          <w:numId w:val="3"/>
        </w:numPr>
        <w:tabs>
          <w:tab w:val="left" w:pos="384"/>
        </w:tabs>
        <w:spacing w:line="216" w:lineRule="exact"/>
        <w:ind w:right="138" w:hanging="283"/>
        <w:rPr>
          <w:b/>
          <w:sz w:val="18"/>
        </w:rPr>
      </w:pPr>
      <w:r>
        <w:rPr>
          <w:b/>
          <w:sz w:val="18"/>
        </w:rPr>
        <w:t>G</w:t>
      </w:r>
      <w:r w:rsidRPr="00323116">
        <w:rPr>
          <w:b/>
          <w:sz w:val="18"/>
        </w:rPr>
        <w:t xml:space="preserve">hannam, K., </w:t>
      </w:r>
      <w:proofErr w:type="spellStart"/>
      <w:r w:rsidRPr="00323116">
        <w:rPr>
          <w:sz w:val="18"/>
        </w:rPr>
        <w:t>Nakai</w:t>
      </w:r>
      <w:proofErr w:type="spellEnd"/>
      <w:r w:rsidRPr="00323116">
        <w:rPr>
          <w:sz w:val="18"/>
        </w:rPr>
        <w:t xml:space="preserve">, T., Paschalis, A., </w:t>
      </w:r>
      <w:proofErr w:type="spellStart"/>
      <w:r w:rsidRPr="00323116">
        <w:rPr>
          <w:sz w:val="18"/>
        </w:rPr>
        <w:t>Oishi</w:t>
      </w:r>
      <w:proofErr w:type="spellEnd"/>
      <w:r w:rsidRPr="00323116">
        <w:rPr>
          <w:sz w:val="18"/>
        </w:rPr>
        <w:t xml:space="preserve">, C. A., </w:t>
      </w:r>
      <w:proofErr w:type="spellStart"/>
      <w:r w:rsidRPr="00323116">
        <w:rPr>
          <w:sz w:val="18"/>
        </w:rPr>
        <w:t>Kotani</w:t>
      </w:r>
      <w:proofErr w:type="spellEnd"/>
      <w:r w:rsidRPr="00323116">
        <w:rPr>
          <w:sz w:val="18"/>
        </w:rPr>
        <w:t xml:space="preserve">, A., Igarashi, Y., </w:t>
      </w:r>
      <w:proofErr w:type="spellStart"/>
      <w:r w:rsidRPr="00323116">
        <w:rPr>
          <w:sz w:val="18"/>
        </w:rPr>
        <w:t>Kumagai</w:t>
      </w:r>
      <w:proofErr w:type="spellEnd"/>
      <w:r w:rsidRPr="00323116">
        <w:rPr>
          <w:sz w:val="18"/>
        </w:rPr>
        <w:t xml:space="preserve">, T. and Katul, G. G. (2016), </w:t>
      </w:r>
      <w:r>
        <w:rPr>
          <w:sz w:val="18"/>
        </w:rPr>
        <w:t>“</w:t>
      </w:r>
      <w:r w:rsidRPr="00323116">
        <w:rPr>
          <w:sz w:val="18"/>
        </w:rPr>
        <w:t>Persistence and memory time scales in root-zone soil moisture dynamics</w:t>
      </w:r>
      <w:r>
        <w:rPr>
          <w:sz w:val="18"/>
        </w:rPr>
        <w:t xml:space="preserve">”. </w:t>
      </w:r>
      <w:r w:rsidRPr="00323116">
        <w:rPr>
          <w:i/>
          <w:sz w:val="18"/>
        </w:rPr>
        <w:t>Water Resour</w:t>
      </w:r>
      <w:r>
        <w:rPr>
          <w:i/>
          <w:sz w:val="18"/>
        </w:rPr>
        <w:t xml:space="preserve">ces </w:t>
      </w:r>
      <w:r w:rsidRPr="00323116">
        <w:rPr>
          <w:i/>
          <w:sz w:val="18"/>
        </w:rPr>
        <w:t>Research.</w:t>
      </w:r>
      <w:r>
        <w:rPr>
          <w:sz w:val="18"/>
        </w:rPr>
        <w:t>52</w:t>
      </w:r>
      <w:proofErr w:type="gramStart"/>
      <w:r>
        <w:rPr>
          <w:sz w:val="18"/>
        </w:rPr>
        <w:t>,1427</w:t>
      </w:r>
      <w:proofErr w:type="gramEnd"/>
      <w:r>
        <w:rPr>
          <w:sz w:val="18"/>
        </w:rPr>
        <w:t xml:space="preserve">–1445, </w:t>
      </w:r>
      <w:proofErr w:type="spellStart"/>
      <w:r w:rsidRPr="00323116">
        <w:rPr>
          <w:sz w:val="18"/>
        </w:rPr>
        <w:t>doi</w:t>
      </w:r>
      <w:proofErr w:type="spellEnd"/>
      <w:r w:rsidRPr="00323116">
        <w:rPr>
          <w:sz w:val="18"/>
        </w:rPr>
        <w:t>:</w:t>
      </w:r>
      <w:r>
        <w:rPr>
          <w:sz w:val="18"/>
        </w:rPr>
        <w:t xml:space="preserve"> </w:t>
      </w:r>
      <w:r w:rsidRPr="00323116">
        <w:rPr>
          <w:sz w:val="18"/>
        </w:rPr>
        <w:t>10.1002/2015WR017983.</w:t>
      </w:r>
    </w:p>
    <w:p w:rsidR="00323116" w:rsidRPr="00323116" w:rsidRDefault="00323116" w:rsidP="00323116">
      <w:pPr>
        <w:pStyle w:val="ListParagraph"/>
        <w:numPr>
          <w:ilvl w:val="0"/>
          <w:numId w:val="3"/>
        </w:numPr>
        <w:rPr>
          <w:sz w:val="18"/>
        </w:rPr>
      </w:pPr>
      <w:r w:rsidRPr="00323116">
        <w:rPr>
          <w:b/>
          <w:sz w:val="18"/>
        </w:rPr>
        <w:t>Ghannam, K.,</w:t>
      </w:r>
      <w:r w:rsidRPr="00323116">
        <w:rPr>
          <w:sz w:val="18"/>
        </w:rPr>
        <w:t xml:space="preserve"> Poggi, D., Porporato, A., &amp; Katul, G. G. (2015). </w:t>
      </w:r>
      <w:r w:rsidR="0072747E">
        <w:rPr>
          <w:sz w:val="18"/>
        </w:rPr>
        <w:t>“</w:t>
      </w:r>
      <w:r w:rsidRPr="00323116">
        <w:rPr>
          <w:sz w:val="18"/>
        </w:rPr>
        <w:t xml:space="preserve">The </w:t>
      </w:r>
      <w:proofErr w:type="spellStart"/>
      <w:r w:rsidRPr="00323116">
        <w:rPr>
          <w:sz w:val="18"/>
        </w:rPr>
        <w:t>Spatio</w:t>
      </w:r>
      <w:proofErr w:type="spellEnd"/>
      <w:r w:rsidRPr="00323116">
        <w:rPr>
          <w:sz w:val="18"/>
        </w:rPr>
        <w:t xml:space="preserve">-temporal Statistical Structure and Ergodic </w:t>
      </w:r>
      <w:proofErr w:type="spellStart"/>
      <w:r w:rsidRPr="00323116">
        <w:rPr>
          <w:sz w:val="18"/>
        </w:rPr>
        <w:t>Behaviour</w:t>
      </w:r>
      <w:proofErr w:type="spellEnd"/>
      <w:r w:rsidRPr="00323116">
        <w:rPr>
          <w:sz w:val="18"/>
        </w:rPr>
        <w:t xml:space="preserve"> of Scalar Turbulence </w:t>
      </w:r>
      <w:proofErr w:type="gramStart"/>
      <w:r w:rsidRPr="00323116">
        <w:rPr>
          <w:sz w:val="18"/>
        </w:rPr>
        <w:t>Within</w:t>
      </w:r>
      <w:proofErr w:type="gramEnd"/>
      <w:r w:rsidRPr="00323116">
        <w:rPr>
          <w:sz w:val="18"/>
        </w:rPr>
        <w:t xml:space="preserve"> a Rod Canopy</w:t>
      </w:r>
      <w:r w:rsidR="0072747E">
        <w:rPr>
          <w:sz w:val="18"/>
        </w:rPr>
        <w:t>”</w:t>
      </w:r>
      <w:r w:rsidRPr="00323116">
        <w:rPr>
          <w:sz w:val="18"/>
        </w:rPr>
        <w:t xml:space="preserve">. </w:t>
      </w:r>
      <w:r w:rsidRPr="0072747E">
        <w:rPr>
          <w:i/>
          <w:sz w:val="18"/>
        </w:rPr>
        <w:t>Boundary-Layer Meteorology</w:t>
      </w:r>
      <w:r w:rsidRPr="00323116">
        <w:rPr>
          <w:sz w:val="18"/>
        </w:rPr>
        <w:t>, 157(3), 447-460.</w:t>
      </w:r>
    </w:p>
    <w:p w:rsidR="0072747E" w:rsidRPr="0072747E" w:rsidRDefault="0072747E" w:rsidP="0072747E">
      <w:pPr>
        <w:pStyle w:val="ListParagraph"/>
        <w:numPr>
          <w:ilvl w:val="0"/>
          <w:numId w:val="3"/>
        </w:numPr>
        <w:rPr>
          <w:sz w:val="18"/>
        </w:rPr>
      </w:pPr>
      <w:r w:rsidRPr="0072747E">
        <w:rPr>
          <w:b/>
          <w:sz w:val="18"/>
        </w:rPr>
        <w:t>Ghannam, K.,</w:t>
      </w:r>
      <w:r w:rsidRPr="0072747E">
        <w:rPr>
          <w:sz w:val="18"/>
        </w:rPr>
        <w:t xml:space="preserve"> and El-</w:t>
      </w:r>
      <w:proofErr w:type="spellStart"/>
      <w:r w:rsidRPr="0072747E">
        <w:rPr>
          <w:sz w:val="18"/>
        </w:rPr>
        <w:t>Fadel</w:t>
      </w:r>
      <w:proofErr w:type="spellEnd"/>
      <w:r w:rsidRPr="0072747E">
        <w:rPr>
          <w:sz w:val="18"/>
        </w:rPr>
        <w:t xml:space="preserve">, M. (2013), </w:t>
      </w:r>
      <w:r>
        <w:rPr>
          <w:sz w:val="18"/>
        </w:rPr>
        <w:t>“</w:t>
      </w:r>
      <w:r w:rsidRPr="0072747E">
        <w:rPr>
          <w:sz w:val="18"/>
        </w:rPr>
        <w:t>Emissions characterization and regulatory compliance at an industrial complex: an integrated MM5/CALPUFF approach</w:t>
      </w:r>
      <w:r>
        <w:rPr>
          <w:sz w:val="18"/>
        </w:rPr>
        <w:t>”</w:t>
      </w:r>
      <w:r w:rsidRPr="0072747E">
        <w:rPr>
          <w:sz w:val="18"/>
        </w:rPr>
        <w:t xml:space="preserve">. </w:t>
      </w:r>
      <w:r w:rsidRPr="0072747E">
        <w:rPr>
          <w:i/>
          <w:sz w:val="18"/>
        </w:rPr>
        <w:t>Atmospheric Environment</w:t>
      </w:r>
      <w:r w:rsidRPr="0072747E">
        <w:rPr>
          <w:sz w:val="18"/>
        </w:rPr>
        <w:t>, 69: 156-169.</w:t>
      </w:r>
    </w:p>
    <w:p w:rsidR="00AE3E37" w:rsidRPr="0072747E" w:rsidRDefault="0072747E" w:rsidP="0072747E">
      <w:pPr>
        <w:pStyle w:val="ListParagraph"/>
        <w:numPr>
          <w:ilvl w:val="0"/>
          <w:numId w:val="3"/>
        </w:numPr>
        <w:tabs>
          <w:tab w:val="left" w:pos="384"/>
        </w:tabs>
        <w:spacing w:line="216" w:lineRule="exact"/>
        <w:ind w:right="138"/>
        <w:rPr>
          <w:sz w:val="18"/>
        </w:rPr>
      </w:pPr>
      <w:r w:rsidRPr="0072747E">
        <w:rPr>
          <w:b/>
          <w:sz w:val="18"/>
        </w:rPr>
        <w:t>Ghannam, K.,</w:t>
      </w:r>
      <w:r w:rsidRPr="0072747E">
        <w:rPr>
          <w:sz w:val="18"/>
        </w:rPr>
        <w:t xml:space="preserve"> and El-</w:t>
      </w:r>
      <w:proofErr w:type="spellStart"/>
      <w:r w:rsidRPr="0072747E">
        <w:rPr>
          <w:sz w:val="18"/>
        </w:rPr>
        <w:t>Fadel</w:t>
      </w:r>
      <w:proofErr w:type="spellEnd"/>
      <w:r w:rsidRPr="0072747E">
        <w:rPr>
          <w:sz w:val="18"/>
        </w:rPr>
        <w:t xml:space="preserve">, M. (2013). </w:t>
      </w:r>
      <w:r>
        <w:rPr>
          <w:sz w:val="18"/>
        </w:rPr>
        <w:t>“</w:t>
      </w:r>
      <w:r w:rsidRPr="0072747E">
        <w:rPr>
          <w:sz w:val="18"/>
        </w:rPr>
        <w:t>A framework for emissions source apportionment in industrial areas: MM5/CALPUFF in a near-field application</w:t>
      </w:r>
      <w:r>
        <w:rPr>
          <w:sz w:val="18"/>
        </w:rPr>
        <w:t>”</w:t>
      </w:r>
      <w:r w:rsidRPr="0072747E">
        <w:rPr>
          <w:sz w:val="18"/>
        </w:rPr>
        <w:t xml:space="preserve">. </w:t>
      </w:r>
      <w:r w:rsidRPr="0072747E">
        <w:rPr>
          <w:i/>
          <w:sz w:val="18"/>
        </w:rPr>
        <w:t>Journal of the Air &amp; Waste Management Association</w:t>
      </w:r>
      <w:r w:rsidR="002A7FD7">
        <w:rPr>
          <w:sz w:val="18"/>
        </w:rPr>
        <w:t>, 63(2), 190-204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A0A56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29751D">
      <w:pPr>
        <w:spacing w:before="41" w:line="154" w:lineRule="exact"/>
        <w:ind w:left="213" w:right="231"/>
        <w:jc w:val="both"/>
        <w:rPr>
          <w:rFonts w:ascii="Arial"/>
          <w:sz w:val="14"/>
        </w:rPr>
      </w:pPr>
      <w:r>
        <w:rPr>
          <w:rFonts w:ascii="Arial"/>
          <w:sz w:val="14"/>
        </w:rPr>
        <w:t xml:space="preserve">Dr. </w:t>
      </w:r>
      <w:r w:rsidR="00310CD9">
        <w:rPr>
          <w:rFonts w:ascii="Arial"/>
          <w:sz w:val="14"/>
        </w:rPr>
        <w:t>Khaled Ghannam is an experienced professional in several aspects of environmental engineering and sciences, as they pertain to atmospheric sciences, surface hydrology, and terrestrial ecosystem science. Khaled</w:t>
      </w:r>
      <w:r w:rsidR="00310CD9">
        <w:rPr>
          <w:rFonts w:ascii="Arial"/>
          <w:sz w:val="14"/>
        </w:rPr>
        <w:t>’</w:t>
      </w:r>
      <w:r w:rsidR="00310CD9">
        <w:rPr>
          <w:rFonts w:ascii="Arial"/>
          <w:sz w:val="14"/>
        </w:rPr>
        <w:t xml:space="preserve">s research interests span land-atmosphere interactions and feedbacks in a changing climate, with a focus on the time scales at which such feedbacks occur, where short-lived events are interpreted in a context of emergency (e.g. floods, severe weather events) responses, and longer time scale </w:t>
      </w:r>
      <w:r>
        <w:rPr>
          <w:rFonts w:ascii="Arial"/>
          <w:sz w:val="14"/>
        </w:rPr>
        <w:t>feedbacks dictate droughts, food security, and water resources management under global warming. Khaled has several years of experience in environmental engineering consultancy working on the Doha port project (Qatar), Dubai airport expansion plan (UAE), Greater Beirut water supply augmentation project (Lebanon), and many others.</w:t>
      </w:r>
      <w:r w:rsidR="00A9710C">
        <w:rPr>
          <w:rFonts w:ascii="Arial"/>
          <w:sz w:val="14"/>
        </w:rPr>
        <w:t xml:space="preserve"> </w:t>
      </w:r>
    </w:p>
    <w:p w:rsidR="008A666F" w:rsidRPr="008A666F" w:rsidRDefault="008A666F" w:rsidP="0029751D">
      <w:pPr>
        <w:spacing w:before="62"/>
        <w:ind w:left="4217" w:right="4235"/>
        <w:jc w:val="center"/>
        <w:rPr>
          <w:rFonts w:ascii="Arial"/>
          <w:sz w:val="14"/>
        </w:rPr>
      </w:pPr>
      <w:r w:rsidRPr="008A666F">
        <w:rPr>
          <w:rFonts w:ascii="Arial"/>
          <w:sz w:val="14"/>
        </w:rPr>
        <w:t>Full name:</w:t>
      </w:r>
      <w:r w:rsidR="0029751D">
        <w:rPr>
          <w:rFonts w:ascii="Arial"/>
          <w:sz w:val="14"/>
        </w:rPr>
        <w:t xml:space="preserve"> Khaled Ghannam</w:t>
      </w:r>
    </w:p>
    <w:p w:rsidR="008A666F" w:rsidRPr="008A666F" w:rsidRDefault="008A666F" w:rsidP="0029751D">
      <w:pPr>
        <w:spacing w:before="62"/>
        <w:ind w:left="4217" w:right="4235"/>
        <w:jc w:val="center"/>
        <w:rPr>
          <w:rFonts w:ascii="Arial"/>
          <w:sz w:val="14"/>
        </w:rPr>
      </w:pPr>
      <w:r w:rsidRPr="008A666F">
        <w:rPr>
          <w:rFonts w:ascii="Arial"/>
          <w:sz w:val="14"/>
        </w:rPr>
        <w:t>Contact number:</w:t>
      </w:r>
      <w:r w:rsidR="0029751D">
        <w:rPr>
          <w:rFonts w:ascii="Arial"/>
          <w:sz w:val="14"/>
        </w:rPr>
        <w:t xml:space="preserve"> +1 (919) 402-7368</w:t>
      </w:r>
    </w:p>
    <w:p w:rsidR="008A666F" w:rsidRPr="008A666F" w:rsidRDefault="008A666F" w:rsidP="0029751D">
      <w:pPr>
        <w:spacing w:before="62"/>
        <w:ind w:left="4217" w:right="4235"/>
        <w:jc w:val="center"/>
        <w:rPr>
          <w:rFonts w:ascii="Arial"/>
          <w:sz w:val="14"/>
        </w:rPr>
      </w:pPr>
      <w:r w:rsidRPr="008A666F">
        <w:rPr>
          <w:rFonts w:ascii="Arial"/>
          <w:sz w:val="14"/>
        </w:rPr>
        <w:t>Twitter account:</w:t>
      </w:r>
      <w:r w:rsidR="0029751D">
        <w:rPr>
          <w:rFonts w:ascii="Arial"/>
          <w:sz w:val="14"/>
        </w:rPr>
        <w:t xml:space="preserve"> @</w:t>
      </w:r>
      <w:proofErr w:type="spellStart"/>
      <w:r w:rsidR="0029751D">
        <w:rPr>
          <w:rFonts w:ascii="Arial"/>
          <w:sz w:val="14"/>
        </w:rPr>
        <w:t>GhannamKhaled</w:t>
      </w:r>
      <w:proofErr w:type="spellEnd"/>
    </w:p>
    <w:p w:rsidR="008A666F" w:rsidRDefault="008A666F" w:rsidP="0029751D">
      <w:pPr>
        <w:spacing w:before="62"/>
        <w:ind w:left="4217" w:right="4235"/>
        <w:jc w:val="center"/>
        <w:rPr>
          <w:rFonts w:ascii="Arial"/>
          <w:sz w:val="14"/>
        </w:rPr>
      </w:pPr>
      <w:r>
        <w:rPr>
          <w:rFonts w:ascii="Arial"/>
          <w:sz w:val="14"/>
        </w:rPr>
        <w:t>Linked</w:t>
      </w:r>
      <w:r w:rsidRPr="008A666F">
        <w:rPr>
          <w:rFonts w:ascii="Arial"/>
          <w:sz w:val="14"/>
        </w:rPr>
        <w:t>In account:</w:t>
      </w:r>
      <w:r w:rsidR="0029751D">
        <w:rPr>
          <w:rFonts w:ascii="Arial"/>
          <w:sz w:val="14"/>
        </w:rPr>
        <w:t xml:space="preserve"> </w:t>
      </w:r>
      <w:r w:rsidR="0029751D" w:rsidRPr="0029751D">
        <w:rPr>
          <w:rFonts w:ascii="Arial"/>
          <w:sz w:val="14"/>
        </w:rPr>
        <w:t>htt</w:t>
      </w:r>
      <w:r w:rsidR="0029751D">
        <w:rPr>
          <w:rFonts w:ascii="Arial"/>
          <w:sz w:val="14"/>
        </w:rPr>
        <w:t>ps://www.linkedin.com/in/khaledg</w:t>
      </w:r>
      <w:r w:rsidR="0029751D" w:rsidRPr="0029751D">
        <w:rPr>
          <w:rFonts w:ascii="Arial"/>
          <w:sz w:val="14"/>
        </w:rPr>
        <w:t>hannam</w:t>
      </w:r>
    </w:p>
    <w:p w:rsidR="00AE3E37" w:rsidRDefault="0029751D" w:rsidP="0029751D">
      <w:pPr>
        <w:spacing w:before="62"/>
        <w:ind w:left="4217" w:right="4235"/>
        <w:jc w:val="center"/>
        <w:rPr>
          <w:rStyle w:val="Hyperlink"/>
          <w:rFonts w:ascii="Arial"/>
          <w:sz w:val="14"/>
        </w:rPr>
      </w:pPr>
      <w:r>
        <w:rPr>
          <w:rFonts w:ascii="Arial"/>
          <w:sz w:val="14"/>
        </w:rPr>
        <w:t xml:space="preserve">Email: </w:t>
      </w:r>
      <w:hyperlink r:id="rId10" w:history="1">
        <w:r w:rsidRPr="00B8732B">
          <w:rPr>
            <w:rStyle w:val="Hyperlink"/>
            <w:rFonts w:ascii="Arial"/>
            <w:sz w:val="14"/>
          </w:rPr>
          <w:t>khaled.mghannam@gmail.com</w:t>
        </w:r>
      </w:hyperlink>
    </w:p>
    <w:p w:rsidR="002A58B0" w:rsidRPr="002A58B0" w:rsidRDefault="002A7FD7" w:rsidP="002A7FD7">
      <w:pPr>
        <w:spacing w:before="62"/>
        <w:ind w:right="4235"/>
        <w:rPr>
          <w:rFonts w:ascii="Arial"/>
          <w:color w:val="000000" w:themeColor="text1"/>
          <w:sz w:val="14"/>
        </w:rPr>
      </w:pPr>
      <w:r>
        <w:rPr>
          <w:rStyle w:val="Hyperlink"/>
          <w:rFonts w:ascii="Arial"/>
          <w:color w:val="000000" w:themeColor="text1"/>
          <w:sz w:val="14"/>
          <w:u w:val="none"/>
        </w:rPr>
        <w:t xml:space="preserve">                                                                                                       </w:t>
      </w:r>
      <w:bookmarkStart w:id="0" w:name="_GoBack"/>
      <w:bookmarkEnd w:id="0"/>
      <w:r w:rsidR="002A58B0" w:rsidRPr="002A58B0">
        <w:rPr>
          <w:rStyle w:val="Hyperlink"/>
          <w:rFonts w:ascii="Arial"/>
          <w:color w:val="000000" w:themeColor="text1"/>
          <w:sz w:val="14"/>
          <w:u w:val="none"/>
        </w:rPr>
        <w:t>Track name: Ecology and Ecosystems</w:t>
      </w:r>
    </w:p>
    <w:p w:rsidR="00AE3E37" w:rsidRPr="0072747E" w:rsidRDefault="00292ED9" w:rsidP="0072747E">
      <w:pPr>
        <w:pStyle w:val="BodyText"/>
        <w:spacing w:before="2"/>
        <w:rPr>
          <w:rFonts w:ascii="Arial"/>
          <w:sz w:val="14"/>
          <w:szCs w:val="14"/>
        </w:rPr>
        <w:sectPr w:rsidR="00AE3E37" w:rsidRPr="0072747E">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CFBA3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299" w:rsidRDefault="00316299">
      <w:r>
        <w:separator/>
      </w:r>
    </w:p>
  </w:endnote>
  <w:endnote w:type="continuationSeparator" w:id="0">
    <w:p w:rsidR="00316299" w:rsidRDefault="00316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299" w:rsidRDefault="00316299">
      <w:r>
        <w:separator/>
      </w:r>
    </w:p>
  </w:footnote>
  <w:footnote w:type="continuationSeparator" w:id="0">
    <w:p w:rsidR="00316299" w:rsidRDefault="00316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5DBEABDC"/>
    <w:lvl w:ilvl="0" w:tplc="83A2716A">
      <w:start w:val="1"/>
      <w:numFmt w:val="decimal"/>
      <w:lvlText w:val="%1."/>
      <w:lvlJc w:val="left"/>
      <w:pPr>
        <w:ind w:left="383" w:hanging="284"/>
      </w:pPr>
      <w:rPr>
        <w:rFonts w:ascii="Calibri" w:eastAsia="Calibri" w:hAnsi="Calibri" w:cs="Calibri" w:hint="default"/>
        <w:b w:val="0"/>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8DB41AA"/>
    <w:multiLevelType w:val="hybridMultilevel"/>
    <w:tmpl w:val="28023E4A"/>
    <w:lvl w:ilvl="0" w:tplc="029461A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001A"/>
    <w:rsid w:val="000E2911"/>
    <w:rsid w:val="001263DF"/>
    <w:rsid w:val="001C6584"/>
    <w:rsid w:val="00221A9D"/>
    <w:rsid w:val="00274429"/>
    <w:rsid w:val="00292ED9"/>
    <w:rsid w:val="0029751D"/>
    <w:rsid w:val="002A58B0"/>
    <w:rsid w:val="002A7FD7"/>
    <w:rsid w:val="00310CD9"/>
    <w:rsid w:val="00316299"/>
    <w:rsid w:val="00323116"/>
    <w:rsid w:val="00404E5B"/>
    <w:rsid w:val="00414F7B"/>
    <w:rsid w:val="004355DC"/>
    <w:rsid w:val="004749B4"/>
    <w:rsid w:val="00494130"/>
    <w:rsid w:val="004D0883"/>
    <w:rsid w:val="004F3523"/>
    <w:rsid w:val="005973B9"/>
    <w:rsid w:val="005B3A56"/>
    <w:rsid w:val="005B3E33"/>
    <w:rsid w:val="006060CE"/>
    <w:rsid w:val="0063497F"/>
    <w:rsid w:val="0072747E"/>
    <w:rsid w:val="00795BD3"/>
    <w:rsid w:val="007F0A8E"/>
    <w:rsid w:val="00873DF0"/>
    <w:rsid w:val="008756E6"/>
    <w:rsid w:val="008A666F"/>
    <w:rsid w:val="009952BF"/>
    <w:rsid w:val="009B2D44"/>
    <w:rsid w:val="009F7315"/>
    <w:rsid w:val="00A07E82"/>
    <w:rsid w:val="00A9710C"/>
    <w:rsid w:val="00AE3E37"/>
    <w:rsid w:val="00B21A57"/>
    <w:rsid w:val="00C33602"/>
    <w:rsid w:val="00CA5BE0"/>
    <w:rsid w:val="00CD6F55"/>
    <w:rsid w:val="00CF5EB5"/>
    <w:rsid w:val="00D321BC"/>
    <w:rsid w:val="00D721A0"/>
    <w:rsid w:val="00DE3104"/>
    <w:rsid w:val="00ED7F9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D8C603"/>
  <w15:docId w15:val="{505E55B2-79FA-4D34-93B5-E9690F48C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khaled.mghannam@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762</Words>
  <Characters>4347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Khaled Ghannam</cp:lastModifiedBy>
  <cp:revision>4</cp:revision>
  <dcterms:created xsi:type="dcterms:W3CDTF">2017-06-05T18:33:00Z</dcterms:created>
  <dcterms:modified xsi:type="dcterms:W3CDTF">2017-06-05T18:42:00Z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