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0BAF8" w14:textId="4C038510" w:rsidR="00ED3A5B" w:rsidRPr="005918D5" w:rsidRDefault="00BF34EB" w:rsidP="00DF4684">
      <w:pPr>
        <w:spacing w:after="120" w:line="360" w:lineRule="auto"/>
        <w:jc w:val="center"/>
        <w:rPr>
          <w:bCs/>
          <w:sz w:val="32"/>
          <w:szCs w:val="36"/>
        </w:rPr>
      </w:pPr>
      <w:r w:rsidRPr="00BF34EB">
        <w:rPr>
          <w:bCs/>
          <w:sz w:val="32"/>
          <w:szCs w:val="36"/>
        </w:rPr>
        <w:t>The EU Legal and Regulatory Framework for Measuring Damage Risks to the Biodiversity of the Marine Environment</w:t>
      </w:r>
    </w:p>
    <w:p w14:paraId="672A6659" w14:textId="77777777" w:rsidR="00ED3A5B" w:rsidRPr="005918D5" w:rsidRDefault="00ED3A5B" w:rsidP="00DF4684">
      <w:pPr>
        <w:spacing w:after="120" w:line="360" w:lineRule="auto"/>
        <w:jc w:val="right"/>
        <w:rPr>
          <w:sz w:val="18"/>
          <w:szCs w:val="20"/>
        </w:rPr>
      </w:pPr>
    </w:p>
    <w:p w14:paraId="0A37501D" w14:textId="77777777" w:rsidR="00616212" w:rsidRPr="005918D5" w:rsidRDefault="00616212" w:rsidP="00DF4684">
      <w:pPr>
        <w:spacing w:after="120" w:line="360" w:lineRule="auto"/>
        <w:jc w:val="right"/>
        <w:rPr>
          <w:sz w:val="18"/>
          <w:szCs w:val="20"/>
        </w:rPr>
      </w:pPr>
    </w:p>
    <w:p w14:paraId="5DAB6C7B" w14:textId="77777777" w:rsidR="00C57DB8" w:rsidRPr="005918D5" w:rsidRDefault="00C57DB8" w:rsidP="00DF4684">
      <w:pPr>
        <w:spacing w:after="120" w:line="360" w:lineRule="auto"/>
        <w:jc w:val="right"/>
        <w:rPr>
          <w:sz w:val="18"/>
          <w:szCs w:val="20"/>
        </w:rPr>
      </w:pPr>
      <w:bookmarkStart w:id="0" w:name="_GoBack"/>
      <w:bookmarkEnd w:id="0"/>
    </w:p>
    <w:p w14:paraId="3D011186" w14:textId="77777777" w:rsidR="008B0494" w:rsidRPr="005918D5" w:rsidRDefault="008B0494" w:rsidP="00DF4684">
      <w:pPr>
        <w:spacing w:after="120" w:line="360" w:lineRule="auto"/>
        <w:jc w:val="center"/>
        <w:rPr>
          <w:sz w:val="22"/>
        </w:rPr>
      </w:pPr>
      <w:r w:rsidRPr="005918D5">
        <w:rPr>
          <w:sz w:val="22"/>
        </w:rPr>
        <w:t xml:space="preserve">Ivelin M. Zvezdov, M.Phil., CPMP, </w:t>
      </w:r>
      <w:r w:rsidR="004971FA" w:rsidRPr="005918D5">
        <w:rPr>
          <w:sz w:val="22"/>
        </w:rPr>
        <w:t xml:space="preserve">AVP of </w:t>
      </w:r>
      <w:r w:rsidR="0066691A" w:rsidRPr="005918D5">
        <w:rPr>
          <w:sz w:val="22"/>
        </w:rPr>
        <w:t>Product Development</w:t>
      </w:r>
      <w:r w:rsidRPr="005918D5">
        <w:rPr>
          <w:sz w:val="22"/>
        </w:rPr>
        <w:t>,</w:t>
      </w:r>
    </w:p>
    <w:p w14:paraId="63B69121" w14:textId="77777777" w:rsidR="008B0494" w:rsidRPr="005918D5" w:rsidRDefault="008B0494" w:rsidP="00DF4684">
      <w:pPr>
        <w:spacing w:after="120" w:line="360" w:lineRule="auto"/>
        <w:jc w:val="center"/>
        <w:rPr>
          <w:sz w:val="22"/>
        </w:rPr>
      </w:pPr>
      <w:r w:rsidRPr="005918D5">
        <w:rPr>
          <w:sz w:val="22"/>
        </w:rPr>
        <w:t>AIR Worldwide, VERISK Analytics Corp., Boston, MA, USA</w:t>
      </w:r>
    </w:p>
    <w:p w14:paraId="65C6EB6B" w14:textId="77777777" w:rsidR="008B0494" w:rsidRPr="005918D5" w:rsidRDefault="00C36C3D" w:rsidP="00DF4684">
      <w:pPr>
        <w:spacing w:after="120" w:line="360" w:lineRule="auto"/>
        <w:jc w:val="center"/>
        <w:rPr>
          <w:rStyle w:val="Hyperlink"/>
          <w:i/>
          <w:color w:val="auto"/>
          <w:sz w:val="22"/>
          <w:u w:val="none"/>
        </w:rPr>
      </w:pPr>
      <w:hyperlink r:id="rId8" w:history="1">
        <w:r w:rsidR="008B0494" w:rsidRPr="005918D5">
          <w:rPr>
            <w:rStyle w:val="Hyperlink"/>
            <w:i/>
            <w:color w:val="auto"/>
            <w:sz w:val="22"/>
            <w:u w:val="none"/>
          </w:rPr>
          <w:t>izvezdov@air-worldwide.com</w:t>
        </w:r>
      </w:hyperlink>
      <w:r w:rsidR="008B0494" w:rsidRPr="005918D5">
        <w:rPr>
          <w:rStyle w:val="Hyperlink"/>
          <w:i/>
          <w:color w:val="auto"/>
          <w:sz w:val="22"/>
          <w:u w:val="none"/>
        </w:rPr>
        <w:t xml:space="preserve">, </w:t>
      </w:r>
      <w:hyperlink r:id="rId9" w:history="1">
        <w:r w:rsidR="008B0494" w:rsidRPr="005918D5">
          <w:rPr>
            <w:rStyle w:val="Hyperlink"/>
            <w:i/>
            <w:color w:val="auto"/>
            <w:sz w:val="22"/>
            <w:u w:val="none"/>
          </w:rPr>
          <w:t>ivelin.zvezdov@gmail.com</w:t>
        </w:r>
      </w:hyperlink>
    </w:p>
    <w:p w14:paraId="29EED930" w14:textId="77777777" w:rsidR="00251912" w:rsidRPr="005918D5" w:rsidRDefault="00251912" w:rsidP="00DF4684">
      <w:pPr>
        <w:spacing w:line="360" w:lineRule="auto"/>
        <w:rPr>
          <w:sz w:val="22"/>
          <w:shd w:val="clear" w:color="auto" w:fill="FFFFFF"/>
        </w:rPr>
      </w:pPr>
    </w:p>
    <w:p w14:paraId="3646F9AF" w14:textId="5B09968C" w:rsidR="00251912" w:rsidRPr="005918D5" w:rsidRDefault="00251912" w:rsidP="00DF4684">
      <w:pPr>
        <w:spacing w:line="360" w:lineRule="auto"/>
        <w:rPr>
          <w:sz w:val="22"/>
        </w:rPr>
      </w:pPr>
      <w:r w:rsidRPr="005918D5">
        <w:rPr>
          <w:sz w:val="22"/>
          <w:szCs w:val="23"/>
          <w:shd w:val="clear" w:color="auto" w:fill="FFFFFF"/>
        </w:rPr>
        <w:t xml:space="preserve">Ivelin Zvezdov is a financial economist by training with experience in quantitative analysis and risk management for (re)insurance and natural catastrophe </w:t>
      </w:r>
      <w:r w:rsidR="00A324A9" w:rsidRPr="005918D5">
        <w:rPr>
          <w:sz w:val="22"/>
          <w:szCs w:val="23"/>
          <w:shd w:val="clear" w:color="auto" w:fill="FFFFFF"/>
        </w:rPr>
        <w:t>modelling</w:t>
      </w:r>
      <w:r w:rsidRPr="005918D5">
        <w:rPr>
          <w:sz w:val="22"/>
          <w:szCs w:val="23"/>
          <w:shd w:val="clear" w:color="auto" w:fill="FFFFFF"/>
        </w:rPr>
        <w:t xml:space="preserve">. In 2006 he joined AIR Worldwide as </w:t>
      </w:r>
      <w:r w:rsidR="00A324A9" w:rsidRPr="005918D5">
        <w:rPr>
          <w:sz w:val="22"/>
          <w:szCs w:val="23"/>
          <w:shd w:val="clear" w:color="auto" w:fill="FFFFFF"/>
        </w:rPr>
        <w:t xml:space="preserve">the </w:t>
      </w:r>
      <w:r w:rsidRPr="005918D5">
        <w:rPr>
          <w:sz w:val="22"/>
          <w:szCs w:val="23"/>
          <w:shd w:val="clear" w:color="auto" w:fill="FFFFFF"/>
        </w:rPr>
        <w:t xml:space="preserve">Manager for Statistical Analysis and Numerical Models. Since 2013 he leads the product development effort of AIR’s next generation </w:t>
      </w:r>
      <w:r w:rsidR="00A324A9" w:rsidRPr="005918D5">
        <w:rPr>
          <w:sz w:val="22"/>
          <w:szCs w:val="23"/>
          <w:shd w:val="clear" w:color="auto" w:fill="FFFFFF"/>
        </w:rPr>
        <w:t>modelling</w:t>
      </w:r>
      <w:r w:rsidRPr="005918D5">
        <w:rPr>
          <w:sz w:val="22"/>
          <w:szCs w:val="23"/>
          <w:shd w:val="clear" w:color="auto" w:fill="FFFFFF"/>
        </w:rPr>
        <w:t xml:space="preserve"> platform. Earlier in his career</w:t>
      </w:r>
      <w:r w:rsidR="00A324A9" w:rsidRPr="005918D5">
        <w:rPr>
          <w:sz w:val="22"/>
          <w:szCs w:val="23"/>
          <w:shd w:val="clear" w:color="auto" w:fill="FFFFFF"/>
        </w:rPr>
        <w:t>,</w:t>
      </w:r>
      <w:r w:rsidRPr="005918D5">
        <w:rPr>
          <w:sz w:val="22"/>
          <w:szCs w:val="23"/>
          <w:shd w:val="clear" w:color="auto" w:fill="FFFFFF"/>
        </w:rPr>
        <w:t xml:space="preserve"> Ivelin worked in energy trading, hedge fund</w:t>
      </w:r>
      <w:r w:rsidR="00A324A9" w:rsidRPr="005918D5">
        <w:rPr>
          <w:sz w:val="22"/>
          <w:szCs w:val="23"/>
          <w:shd w:val="clear" w:color="auto" w:fill="FFFFFF"/>
        </w:rPr>
        <w:t>,</w:t>
      </w:r>
      <w:r w:rsidRPr="005918D5">
        <w:rPr>
          <w:sz w:val="22"/>
          <w:szCs w:val="23"/>
          <w:shd w:val="clear" w:color="auto" w:fill="FFFFFF"/>
        </w:rPr>
        <w:t xml:space="preserve"> and investment banking firms as risk manager and senior quantitative analyst. He holds an M.A. in Economics from St. Andrews University, UK, and M.Phil from the University of Oxford, UK.</w:t>
      </w:r>
    </w:p>
    <w:p w14:paraId="02EB378F" w14:textId="77777777" w:rsidR="00577A98" w:rsidRPr="005918D5" w:rsidRDefault="00577A98" w:rsidP="00DF4684">
      <w:pPr>
        <w:spacing w:after="120" w:line="360" w:lineRule="auto"/>
        <w:jc w:val="center"/>
        <w:rPr>
          <w:sz w:val="22"/>
        </w:rPr>
      </w:pPr>
    </w:p>
    <w:p w14:paraId="72A3D3EC" w14:textId="43C7F0F6" w:rsidR="00C57DB8" w:rsidRPr="005918D5" w:rsidRDefault="00C57DB8" w:rsidP="00DF4684">
      <w:pPr>
        <w:spacing w:after="120" w:line="360" w:lineRule="auto"/>
        <w:jc w:val="both"/>
        <w:rPr>
          <w:sz w:val="20"/>
          <w:szCs w:val="22"/>
        </w:rPr>
      </w:pPr>
    </w:p>
    <w:p w14:paraId="7CBFD60A" w14:textId="77777777" w:rsidR="00616212" w:rsidRPr="005918D5" w:rsidRDefault="00616212" w:rsidP="00DF4684">
      <w:pPr>
        <w:spacing w:after="120" w:line="360" w:lineRule="auto"/>
        <w:jc w:val="both"/>
        <w:rPr>
          <w:szCs w:val="28"/>
        </w:rPr>
      </w:pPr>
      <w:r w:rsidRPr="005918D5">
        <w:rPr>
          <w:szCs w:val="28"/>
        </w:rPr>
        <w:t>Abstract</w:t>
      </w:r>
    </w:p>
    <w:p w14:paraId="1DB56490" w14:textId="77777777" w:rsidR="004918D5" w:rsidRPr="004918D5" w:rsidRDefault="004918D5" w:rsidP="004918D5">
      <w:pPr>
        <w:spacing w:after="120" w:line="360" w:lineRule="auto"/>
        <w:jc w:val="both"/>
        <w:rPr>
          <w:iCs/>
          <w:sz w:val="22"/>
          <w:lang w:val="en-US"/>
        </w:rPr>
      </w:pPr>
      <w:r w:rsidRPr="004918D5">
        <w:rPr>
          <w:iCs/>
          <w:sz w:val="22"/>
          <w:lang w:val="en-US"/>
        </w:rPr>
        <w:t>The study reviews frameworks within which it is possible to estimate the financial risks and costs placed upon offshore industry by European environmental legislation. The aim is to pursue the development of models that could be used to build an insurance market. However, there is high uncertainty surrounding the extent to which offshore industries can be challenged by standards established within current environmental legislation. By establishing a methodology for assessing the risks, this chapter aims to influence the process in a manner that will produce workable scenarios for offshore industries.</w:t>
      </w:r>
    </w:p>
    <w:p w14:paraId="52DFBA35" w14:textId="77777777" w:rsidR="004918D5" w:rsidRPr="004918D5" w:rsidRDefault="004918D5" w:rsidP="004918D5">
      <w:pPr>
        <w:spacing w:after="120" w:line="360" w:lineRule="auto"/>
        <w:jc w:val="both"/>
        <w:rPr>
          <w:iCs/>
          <w:sz w:val="22"/>
          <w:lang w:val="en-US"/>
        </w:rPr>
      </w:pPr>
      <w:r w:rsidRPr="004918D5">
        <w:rPr>
          <w:iCs/>
          <w:sz w:val="22"/>
          <w:lang w:val="en-US"/>
        </w:rPr>
        <w:t>The chapter defines tasks that will establish (1) the types of hazards likely to result in regulators placing restrictions upon offshore industries, (2) the likelihood of exposure of sensitive species to these hazards, (3) the potential toxicity of these hazards towards sensitive species, (4) an overall probability that hazards will lead to biologically significant effects upon sensitive species, (5) an estimate of the probability that these effects will exceed legal thresholds, and (6) a cost function for infringement of legal thresholds or for mitigation associated with up-front regulation as a precaution against infringement of thresholds.</w:t>
      </w:r>
    </w:p>
    <w:p w14:paraId="6BF7718C" w14:textId="77777777" w:rsidR="004918D5" w:rsidRPr="004918D5" w:rsidRDefault="004918D5" w:rsidP="004918D5">
      <w:pPr>
        <w:spacing w:after="120" w:line="360" w:lineRule="auto"/>
        <w:jc w:val="both"/>
        <w:rPr>
          <w:iCs/>
          <w:sz w:val="22"/>
          <w:lang w:val="en-US"/>
        </w:rPr>
      </w:pPr>
      <w:r w:rsidRPr="004918D5">
        <w:rPr>
          <w:iCs/>
          <w:sz w:val="22"/>
          <w:lang w:val="en-US"/>
        </w:rPr>
        <w:lastRenderedPageBreak/>
        <w:t>The underlying analysis defines the overall economic costs associated with environmental compliance in the offshore environment and offers a structure within which different scenarios can be modelled for their economic viability. This research effort is a step towards providing a robust economic valuation of natural resource conservation within the offshore marine environment.</w:t>
      </w:r>
    </w:p>
    <w:p w14:paraId="0973B89D" w14:textId="047F6760" w:rsidR="004918D5" w:rsidRPr="004918D5" w:rsidRDefault="004918D5" w:rsidP="00DF4684">
      <w:pPr>
        <w:spacing w:after="120" w:line="360" w:lineRule="auto"/>
        <w:jc w:val="both"/>
        <w:rPr>
          <w:sz w:val="22"/>
          <w:szCs w:val="22"/>
        </w:rPr>
      </w:pPr>
      <w:r w:rsidRPr="004918D5">
        <w:rPr>
          <w:b/>
          <w:sz w:val="22"/>
          <w:szCs w:val="22"/>
        </w:rPr>
        <w:t>Keywords:</w:t>
      </w:r>
      <w:r w:rsidRPr="004918D5">
        <w:rPr>
          <w:sz w:val="22"/>
          <w:szCs w:val="22"/>
        </w:rPr>
        <w:t xml:space="preserve"> </w:t>
      </w:r>
      <w:r w:rsidRPr="004918D5">
        <w:rPr>
          <w:rStyle w:val="normaltextrun"/>
          <w:iCs/>
          <w:sz w:val="22"/>
          <w:szCs w:val="22"/>
          <w:lang w:val="en-US"/>
        </w:rPr>
        <w:t>Marine Environment, Biodiversity Risk, EU Legal Framework, Offshore Industries</w:t>
      </w:r>
    </w:p>
    <w:p w14:paraId="5C7778B6" w14:textId="77777777" w:rsidR="004918D5" w:rsidRDefault="004918D5" w:rsidP="00DF4684">
      <w:pPr>
        <w:spacing w:after="120" w:line="360" w:lineRule="auto"/>
        <w:jc w:val="both"/>
        <w:rPr>
          <w:szCs w:val="28"/>
        </w:rPr>
      </w:pPr>
    </w:p>
    <w:p w14:paraId="3E7A9F1C" w14:textId="096E030B" w:rsidR="00C57DB8" w:rsidRPr="005918D5" w:rsidRDefault="00616212" w:rsidP="00DF4684">
      <w:pPr>
        <w:spacing w:after="120" w:line="360" w:lineRule="auto"/>
        <w:jc w:val="both"/>
        <w:rPr>
          <w:szCs w:val="28"/>
        </w:rPr>
      </w:pPr>
      <w:r w:rsidRPr="005918D5">
        <w:rPr>
          <w:szCs w:val="28"/>
        </w:rPr>
        <w:t>Introduction</w:t>
      </w:r>
    </w:p>
    <w:p w14:paraId="5D150FA1" w14:textId="59F11DC0" w:rsidR="00B22D3C" w:rsidRPr="005918D5" w:rsidRDefault="00B22D3C" w:rsidP="00DF4684">
      <w:pPr>
        <w:spacing w:after="120" w:line="360" w:lineRule="auto"/>
        <w:jc w:val="both"/>
        <w:rPr>
          <w:sz w:val="22"/>
        </w:rPr>
      </w:pPr>
      <w:r w:rsidRPr="005918D5">
        <w:rPr>
          <w:sz w:val="22"/>
        </w:rPr>
        <w:t>During the next two decades, the marine environment will arguably be the location where a significant share of new major industrial developments will take place. At least within Europe, demand for renewable energy will mainly be satisfied from marine sources; there will be increasing exploration for hydrocarbons both to extract remaining reserves from current oil and gas fields and to move into deeper waters</w:t>
      </w:r>
      <w:r w:rsidR="007C040D" w:rsidRPr="005918D5">
        <w:rPr>
          <w:sz w:val="22"/>
        </w:rPr>
        <w:t xml:space="preserve">, </w:t>
      </w:r>
      <w:r w:rsidRPr="005918D5">
        <w:rPr>
          <w:sz w:val="22"/>
        </w:rPr>
        <w:t>an increasing demand for marine aggregates</w:t>
      </w:r>
      <w:r w:rsidR="007C040D" w:rsidRPr="005918D5">
        <w:rPr>
          <w:sz w:val="22"/>
        </w:rPr>
        <w:t>,</w:t>
      </w:r>
      <w:r w:rsidRPr="005918D5">
        <w:rPr>
          <w:sz w:val="22"/>
        </w:rPr>
        <w:t xml:space="preserve"> and continuing demand for fish protein</w:t>
      </w:r>
      <w:r w:rsidR="008252D2" w:rsidRPr="005918D5">
        <w:rPr>
          <w:sz w:val="22"/>
        </w:rPr>
        <w:t>,</w:t>
      </w:r>
      <w:r w:rsidRPr="005918D5">
        <w:rPr>
          <w:sz w:val="22"/>
        </w:rPr>
        <w:t xml:space="preserve"> which will be delivered from aquaculture facilities that may move into deepwater regions. Although this is predominantly a European perspective, similar trends are present worldwide.</w:t>
      </w:r>
    </w:p>
    <w:p w14:paraId="0C05842F" w14:textId="77777777" w:rsidR="00B22D3C" w:rsidRPr="005918D5" w:rsidRDefault="00B22D3C" w:rsidP="00DF4684">
      <w:pPr>
        <w:spacing w:after="120" w:line="360" w:lineRule="auto"/>
        <w:jc w:val="both"/>
        <w:rPr>
          <w:sz w:val="22"/>
        </w:rPr>
      </w:pPr>
    </w:p>
    <w:p w14:paraId="409ADCE4" w14:textId="4B727C03" w:rsidR="00B22D3C" w:rsidRPr="005918D5" w:rsidRDefault="00B22D3C" w:rsidP="00DF4684">
      <w:pPr>
        <w:spacing w:after="120" w:line="360" w:lineRule="auto"/>
        <w:jc w:val="both"/>
        <w:rPr>
          <w:sz w:val="22"/>
        </w:rPr>
      </w:pPr>
      <w:r w:rsidRPr="005918D5">
        <w:rPr>
          <w:sz w:val="22"/>
        </w:rPr>
        <w:t xml:space="preserve">In both North America and Europe, there is significant new legislation in place or being </w:t>
      </w:r>
      <w:r w:rsidR="007C040D" w:rsidRPr="005918D5">
        <w:rPr>
          <w:sz w:val="22"/>
        </w:rPr>
        <w:t xml:space="preserve">currently </w:t>
      </w:r>
      <w:r w:rsidRPr="005918D5">
        <w:rPr>
          <w:sz w:val="22"/>
        </w:rPr>
        <w:t>developed to regulate and control these different types of offshore developments. Regulation is aimed at achieving three main objectives: (1) to sustain the health of the marine system in the face of industrial encroachment</w:t>
      </w:r>
      <w:r w:rsidR="00555508" w:rsidRPr="005918D5">
        <w:rPr>
          <w:sz w:val="22"/>
        </w:rPr>
        <w:t>,</w:t>
      </w:r>
      <w:r w:rsidRPr="005918D5">
        <w:rPr>
          <w:sz w:val="22"/>
        </w:rPr>
        <w:t xml:space="preserve"> (2) to maintain biodiversity within the marine environment</w:t>
      </w:r>
      <w:r w:rsidR="00555508" w:rsidRPr="005918D5">
        <w:rPr>
          <w:sz w:val="22"/>
        </w:rPr>
        <w:t>,</w:t>
      </w:r>
      <w:r w:rsidRPr="005918D5">
        <w:rPr>
          <w:sz w:val="22"/>
        </w:rPr>
        <w:t xml:space="preserve"> and (3) to maximize the productivity of the marine system in economic terms. It is recognised that conflicts will arise between these objectives and, as a result, systems for planning activities must be put in place to optimise across all of these objectives.</w:t>
      </w:r>
    </w:p>
    <w:p w14:paraId="54D090B3" w14:textId="128DDDE0" w:rsidR="00AE4B00" w:rsidRPr="005918D5" w:rsidRDefault="00AE4B00" w:rsidP="00DF4684">
      <w:pPr>
        <w:spacing w:after="120" w:line="360" w:lineRule="auto"/>
        <w:jc w:val="both"/>
        <w:rPr>
          <w:sz w:val="22"/>
        </w:rPr>
      </w:pPr>
      <w:r w:rsidRPr="005918D5">
        <w:rPr>
          <w:sz w:val="22"/>
        </w:rPr>
        <w:t>Within Europe, the European Commission, through legislation like the Water Framework Directive, the Habitats Directive, the Marine Strategy Framework Directive and the Environmental Liability Directive, sets the legal precedents. In the UK, the Food and Environmental Protection Act 1985 (FEPA) is the primary vehicle for the regulation of offshore development, but licences issued under this legislation take account of the UK national and regional legislation that enacts the European environmental directives. Where power generation is concerned, the Electricity Act (1989) is also a relevant legal instrument. In cases where European Law is breached (infracted), the European Commission can place hefty fines (£millions/day) upon member states until the problem is rectified.</w:t>
      </w:r>
    </w:p>
    <w:p w14:paraId="0E403F92" w14:textId="4F10DF0A" w:rsidR="00AE4B00" w:rsidRPr="005918D5" w:rsidRDefault="00AE4B00" w:rsidP="00DF4684">
      <w:pPr>
        <w:spacing w:after="120" w:line="360" w:lineRule="auto"/>
        <w:jc w:val="both"/>
        <w:rPr>
          <w:sz w:val="22"/>
        </w:rPr>
      </w:pPr>
      <w:r w:rsidRPr="005918D5">
        <w:rPr>
          <w:sz w:val="22"/>
        </w:rPr>
        <w:lastRenderedPageBreak/>
        <w:t xml:space="preserve">Because the penalties from infraction are substantial, there are strong incentives placed upon the </w:t>
      </w:r>
      <w:r w:rsidR="00310BCE" w:rsidRPr="005918D5">
        <w:rPr>
          <w:sz w:val="22"/>
        </w:rPr>
        <w:t>m</w:t>
      </w:r>
      <w:r w:rsidRPr="005918D5">
        <w:rPr>
          <w:sz w:val="22"/>
        </w:rPr>
        <w:t xml:space="preserve">ember </w:t>
      </w:r>
      <w:r w:rsidR="00310BCE" w:rsidRPr="005918D5">
        <w:rPr>
          <w:sz w:val="22"/>
        </w:rPr>
        <w:t>s</w:t>
      </w:r>
      <w:r w:rsidRPr="005918D5">
        <w:rPr>
          <w:sz w:val="22"/>
        </w:rPr>
        <w:t xml:space="preserve">tates to be highly precautionary in the regulatory regime put in place. For commercial enterprises wishing to use the marine system, this may result in two forms of risk: (1) regulatory risk and (2) infraction risk. </w:t>
      </w:r>
    </w:p>
    <w:p w14:paraId="7002500E" w14:textId="356102AF" w:rsidR="00AE4B00" w:rsidRPr="005918D5" w:rsidRDefault="00AE4B00" w:rsidP="00DF4684">
      <w:pPr>
        <w:spacing w:after="120" w:line="360" w:lineRule="auto"/>
        <w:jc w:val="both"/>
        <w:rPr>
          <w:sz w:val="22"/>
        </w:rPr>
      </w:pPr>
      <w:r w:rsidRPr="005918D5">
        <w:rPr>
          <w:rStyle w:val="Emphasis"/>
          <w:sz w:val="22"/>
        </w:rPr>
        <w:t>Regulatory risk</w:t>
      </w:r>
      <w:r w:rsidRPr="005918D5">
        <w:rPr>
          <w:rStyle w:val="Strong"/>
          <w:sz w:val="22"/>
        </w:rPr>
        <w:t> </w:t>
      </w:r>
      <w:r w:rsidRPr="005918D5">
        <w:rPr>
          <w:sz w:val="22"/>
        </w:rPr>
        <w:t>is the risk associated with regulators taking the view that development cannot be licensed because, in their view, there is a possibility that environmental damage will occur</w:t>
      </w:r>
      <w:r w:rsidR="007C040D" w:rsidRPr="005918D5">
        <w:rPr>
          <w:sz w:val="22"/>
        </w:rPr>
        <w:t>, with</w:t>
      </w:r>
      <w:r w:rsidRPr="005918D5">
        <w:rPr>
          <w:sz w:val="22"/>
        </w:rPr>
        <w:t xml:space="preserve"> a risk of infraction.</w:t>
      </w:r>
    </w:p>
    <w:p w14:paraId="41C64B60" w14:textId="27DF6B43" w:rsidR="00AE4B00" w:rsidRPr="005918D5" w:rsidRDefault="00AE4B00" w:rsidP="00DF4684">
      <w:pPr>
        <w:spacing w:after="120" w:line="360" w:lineRule="auto"/>
        <w:jc w:val="both"/>
        <w:rPr>
          <w:sz w:val="22"/>
        </w:rPr>
      </w:pPr>
      <w:r w:rsidRPr="005918D5">
        <w:rPr>
          <w:rStyle w:val="Emphasis"/>
          <w:sz w:val="22"/>
        </w:rPr>
        <w:t>Infraction risk</w:t>
      </w:r>
      <w:r w:rsidRPr="005918D5">
        <w:rPr>
          <w:sz w:val="22"/>
        </w:rPr>
        <w:t> is the risk that once a commercial enterprise has developed its infrastructure and begun an operation</w:t>
      </w:r>
      <w:r w:rsidR="00310BCE" w:rsidRPr="005918D5">
        <w:rPr>
          <w:sz w:val="22"/>
        </w:rPr>
        <w:t>,</w:t>
      </w:r>
      <w:r w:rsidRPr="005918D5">
        <w:rPr>
          <w:sz w:val="22"/>
        </w:rPr>
        <w:t xml:space="preserve"> a form of previously unknown and unpredicted environmental damage occurs and that this results in an infraction being brought by the European Commission on the </w:t>
      </w:r>
      <w:r w:rsidR="00310BCE" w:rsidRPr="005918D5">
        <w:rPr>
          <w:sz w:val="22"/>
        </w:rPr>
        <w:t>m</w:t>
      </w:r>
      <w:r w:rsidRPr="005918D5">
        <w:rPr>
          <w:sz w:val="22"/>
        </w:rPr>
        <w:t xml:space="preserve">ember </w:t>
      </w:r>
      <w:r w:rsidR="00310BCE" w:rsidRPr="005918D5">
        <w:rPr>
          <w:sz w:val="22"/>
        </w:rPr>
        <w:t>s</w:t>
      </w:r>
      <w:r w:rsidRPr="005918D5">
        <w:rPr>
          <w:sz w:val="22"/>
        </w:rPr>
        <w:t>tate</w:t>
      </w:r>
      <w:r w:rsidR="00310BCE" w:rsidRPr="005918D5">
        <w:rPr>
          <w:sz w:val="22"/>
        </w:rPr>
        <w:t>s</w:t>
      </w:r>
      <w:r w:rsidRPr="005918D5">
        <w:rPr>
          <w:sz w:val="22"/>
        </w:rPr>
        <w:t xml:space="preserve">. In such a case, the </w:t>
      </w:r>
      <w:r w:rsidR="00310BCE" w:rsidRPr="005918D5">
        <w:rPr>
          <w:sz w:val="22"/>
        </w:rPr>
        <w:t>m</w:t>
      </w:r>
      <w:r w:rsidRPr="005918D5">
        <w:rPr>
          <w:sz w:val="22"/>
        </w:rPr>
        <w:t xml:space="preserve">ember </w:t>
      </w:r>
      <w:r w:rsidR="00310BCE" w:rsidRPr="005918D5">
        <w:rPr>
          <w:sz w:val="22"/>
        </w:rPr>
        <w:t>s</w:t>
      </w:r>
      <w:r w:rsidRPr="005918D5">
        <w:rPr>
          <w:sz w:val="22"/>
        </w:rPr>
        <w:t>tate</w:t>
      </w:r>
      <w:r w:rsidR="00310BCE" w:rsidRPr="005918D5">
        <w:rPr>
          <w:sz w:val="22"/>
        </w:rPr>
        <w:t>s</w:t>
      </w:r>
      <w:r w:rsidRPr="005918D5">
        <w:rPr>
          <w:sz w:val="22"/>
        </w:rPr>
        <w:t xml:space="preserve"> will almost certainly withdraw the operating license for the facility and may require the removal of any structures put in place. In a worst-case scenario, the threat of infraction could result in the withdrawal of the operating license.</w:t>
      </w:r>
    </w:p>
    <w:p w14:paraId="60061E4C" w14:textId="27636CD4" w:rsidR="00ED3A5B" w:rsidRPr="005918D5" w:rsidRDefault="00AE4B00" w:rsidP="00DF4684">
      <w:pPr>
        <w:spacing w:after="120" w:line="360" w:lineRule="auto"/>
        <w:jc w:val="both"/>
        <w:rPr>
          <w:sz w:val="22"/>
        </w:rPr>
      </w:pPr>
      <w:r w:rsidRPr="005918D5">
        <w:rPr>
          <w:sz w:val="22"/>
        </w:rPr>
        <w:t xml:space="preserve">Within Europe, different </w:t>
      </w:r>
      <w:r w:rsidR="00310BCE" w:rsidRPr="005918D5">
        <w:rPr>
          <w:sz w:val="22"/>
        </w:rPr>
        <w:t>m</w:t>
      </w:r>
      <w:r w:rsidRPr="005918D5">
        <w:rPr>
          <w:sz w:val="22"/>
        </w:rPr>
        <w:t xml:space="preserve">ember </w:t>
      </w:r>
      <w:r w:rsidR="00310BCE" w:rsidRPr="005918D5">
        <w:rPr>
          <w:sz w:val="22"/>
        </w:rPr>
        <w:t>s</w:t>
      </w:r>
      <w:r w:rsidRPr="005918D5">
        <w:rPr>
          <w:sz w:val="22"/>
        </w:rPr>
        <w:t xml:space="preserve">tates take differing approaches to the application of the spirit of the European </w:t>
      </w:r>
      <w:r w:rsidR="00310BCE" w:rsidRPr="005918D5">
        <w:rPr>
          <w:sz w:val="22"/>
        </w:rPr>
        <w:t>d</w:t>
      </w:r>
      <w:r w:rsidRPr="005918D5">
        <w:rPr>
          <w:sz w:val="22"/>
        </w:rPr>
        <w:t>irectives. In the UK, the approach is one of</w:t>
      </w:r>
      <w:r w:rsidR="00ED3A5B" w:rsidRPr="005918D5">
        <w:rPr>
          <w:sz w:val="22"/>
        </w:rPr>
        <w:t xml:space="preserve"> </w:t>
      </w:r>
      <w:r w:rsidRPr="005918D5">
        <w:rPr>
          <w:rStyle w:val="Emphasis"/>
          <w:i w:val="0"/>
          <w:sz w:val="22"/>
        </w:rPr>
        <w:t>up-front</w:t>
      </w:r>
      <w:r w:rsidR="00ED3A5B" w:rsidRPr="005918D5">
        <w:rPr>
          <w:i/>
          <w:iCs/>
          <w:sz w:val="22"/>
        </w:rPr>
        <w:t xml:space="preserve"> </w:t>
      </w:r>
      <w:r w:rsidRPr="005918D5">
        <w:rPr>
          <w:sz w:val="22"/>
        </w:rPr>
        <w:t>regulation; in other countries, such as Spain, the approach is one involving punitive</w:t>
      </w:r>
      <w:r w:rsidR="00ED3A5B" w:rsidRPr="005918D5">
        <w:rPr>
          <w:sz w:val="22"/>
        </w:rPr>
        <w:t xml:space="preserve"> </w:t>
      </w:r>
      <w:r w:rsidRPr="005918D5">
        <w:rPr>
          <w:rStyle w:val="Emphasis"/>
          <w:i w:val="0"/>
          <w:sz w:val="22"/>
        </w:rPr>
        <w:t>down-stream</w:t>
      </w:r>
      <w:r w:rsidR="00ED3A5B" w:rsidRPr="005918D5">
        <w:rPr>
          <w:sz w:val="22"/>
        </w:rPr>
        <w:t xml:space="preserve"> </w:t>
      </w:r>
      <w:r w:rsidRPr="005918D5">
        <w:rPr>
          <w:sz w:val="22"/>
        </w:rPr>
        <w:t>sanctions on developers if the infraction occurs. In one case, there is risk mitigation through bureaucratic oversight and in the other, there is mitigation through punitive deterrence, although of course, most legislative systems rely on graduation from one extreme to the other. This graduation is often misinterpreted as differing levels of compliance across cultural transitions within Europe, but the results and risks are similar</w:t>
      </w:r>
      <w:r w:rsidR="006C3F04" w:rsidRPr="005918D5">
        <w:rPr>
          <w:sz w:val="22"/>
        </w:rPr>
        <w:t>.</w:t>
      </w:r>
      <w:r w:rsidRPr="005918D5">
        <w:rPr>
          <w:sz w:val="22"/>
        </w:rPr>
        <w:t xml:space="preserve"> </w:t>
      </w:r>
      <w:r w:rsidR="006C3F04" w:rsidRPr="005918D5">
        <w:rPr>
          <w:sz w:val="22"/>
        </w:rPr>
        <w:t>A</w:t>
      </w:r>
      <w:r w:rsidRPr="005918D5">
        <w:rPr>
          <w:sz w:val="22"/>
        </w:rPr>
        <w:t>lthough they are shared differently</w:t>
      </w:r>
      <w:r w:rsidR="006C3F04" w:rsidRPr="005918D5">
        <w:rPr>
          <w:sz w:val="22"/>
        </w:rPr>
        <w:t>, they</w:t>
      </w:r>
      <w:r w:rsidRPr="005918D5">
        <w:rPr>
          <w:sz w:val="22"/>
        </w:rPr>
        <w:t xml:space="preserve"> are potentially higher in the case of the approach involving down-stream actions without up-front mitigation.</w:t>
      </w:r>
    </w:p>
    <w:p w14:paraId="0A32EDB9" w14:textId="77777777" w:rsidR="00600FD1" w:rsidRPr="005918D5" w:rsidRDefault="008B0509" w:rsidP="00DF4684">
      <w:pPr>
        <w:pStyle w:val="ListParagraph"/>
        <w:numPr>
          <w:ilvl w:val="0"/>
          <w:numId w:val="9"/>
        </w:numPr>
        <w:spacing w:after="120" w:line="360" w:lineRule="auto"/>
        <w:jc w:val="both"/>
        <w:rPr>
          <w:szCs w:val="28"/>
        </w:rPr>
      </w:pPr>
      <w:r w:rsidRPr="005918D5">
        <w:rPr>
          <w:szCs w:val="28"/>
        </w:rPr>
        <w:t xml:space="preserve">Regulatory </w:t>
      </w:r>
      <w:r w:rsidR="004C1261" w:rsidRPr="005918D5">
        <w:rPr>
          <w:szCs w:val="28"/>
        </w:rPr>
        <w:t>Mechanics</w:t>
      </w:r>
    </w:p>
    <w:p w14:paraId="48503542" w14:textId="75C62DB5" w:rsidR="00ED3A5B" w:rsidRPr="005918D5" w:rsidRDefault="00ED3A5B" w:rsidP="00DF4684">
      <w:pPr>
        <w:spacing w:after="120" w:line="360" w:lineRule="auto"/>
        <w:jc w:val="both"/>
        <w:rPr>
          <w:szCs w:val="28"/>
        </w:rPr>
      </w:pPr>
      <w:r w:rsidRPr="005918D5">
        <w:rPr>
          <w:sz w:val="22"/>
        </w:rPr>
        <w:t>Very broadly, there are four different pieces of environmental legislation</w:t>
      </w:r>
      <w:r w:rsidR="008B0509" w:rsidRPr="005918D5">
        <w:rPr>
          <w:sz w:val="22"/>
        </w:rPr>
        <w:t xml:space="preserve"> in Europe</w:t>
      </w:r>
      <w:r w:rsidRPr="005918D5">
        <w:rPr>
          <w:sz w:val="22"/>
        </w:rPr>
        <w:t xml:space="preserve"> that underpin the </w:t>
      </w:r>
      <w:r w:rsidRPr="005918D5">
        <w:rPr>
          <w:iCs/>
          <w:sz w:val="22"/>
        </w:rPr>
        <w:t>regulatory risk</w:t>
      </w:r>
      <w:r w:rsidR="006C3F04" w:rsidRPr="005918D5">
        <w:rPr>
          <w:iCs/>
          <w:sz w:val="22"/>
        </w:rPr>
        <w:t>s</w:t>
      </w:r>
      <w:r w:rsidR="008B0509" w:rsidRPr="005918D5">
        <w:rPr>
          <w:sz w:val="22"/>
        </w:rPr>
        <w:t xml:space="preserve"> associated with </w:t>
      </w:r>
      <w:r w:rsidRPr="005918D5">
        <w:rPr>
          <w:sz w:val="22"/>
        </w:rPr>
        <w:t xml:space="preserve">offshore </w:t>
      </w:r>
      <w:r w:rsidR="008B0509" w:rsidRPr="005918D5">
        <w:rPr>
          <w:sz w:val="22"/>
        </w:rPr>
        <w:t xml:space="preserve">marine </w:t>
      </w:r>
      <w:r w:rsidRPr="005918D5">
        <w:rPr>
          <w:sz w:val="22"/>
        </w:rPr>
        <w:t>development.</w:t>
      </w:r>
    </w:p>
    <w:p w14:paraId="2D60F9B2" w14:textId="7E94F867" w:rsidR="00E065CC" w:rsidRPr="005918D5" w:rsidRDefault="00ED3A5B" w:rsidP="00DF4684">
      <w:pPr>
        <w:spacing w:after="120" w:line="360" w:lineRule="auto"/>
        <w:jc w:val="both"/>
        <w:rPr>
          <w:sz w:val="22"/>
        </w:rPr>
      </w:pPr>
      <w:r w:rsidRPr="005918D5">
        <w:rPr>
          <w:sz w:val="22"/>
        </w:rPr>
        <w:br/>
      </w:r>
      <w:r w:rsidRPr="005918D5">
        <w:rPr>
          <w:i/>
          <w:iCs/>
          <w:sz w:val="22"/>
        </w:rPr>
        <w:t>Water Framework Directive</w:t>
      </w:r>
      <w:r w:rsidRPr="005918D5">
        <w:rPr>
          <w:sz w:val="22"/>
        </w:rPr>
        <w:t xml:space="preserve"> – This </w:t>
      </w:r>
      <w:r w:rsidR="00944027" w:rsidRPr="005918D5">
        <w:rPr>
          <w:sz w:val="22"/>
        </w:rPr>
        <w:t xml:space="preserve">directive </w:t>
      </w:r>
      <w:r w:rsidRPr="005918D5">
        <w:rPr>
          <w:sz w:val="22"/>
        </w:rPr>
        <w:t xml:space="preserve">is constructed to protect aquatic environments and, in particular, </w:t>
      </w:r>
      <w:r w:rsidR="006C3F04" w:rsidRPr="005918D5">
        <w:rPr>
          <w:sz w:val="22"/>
        </w:rPr>
        <w:t>to</w:t>
      </w:r>
      <w:r w:rsidRPr="005918D5">
        <w:rPr>
          <w:sz w:val="22"/>
        </w:rPr>
        <w:t xml:space="preserve"> regulate pollution in the near-shore region.</w:t>
      </w:r>
    </w:p>
    <w:p w14:paraId="78D80B32" w14:textId="2F764BE8" w:rsidR="00D60551" w:rsidRPr="005918D5" w:rsidRDefault="00ED3A5B" w:rsidP="00DF4684">
      <w:pPr>
        <w:spacing w:after="120" w:line="360" w:lineRule="auto"/>
        <w:jc w:val="both"/>
        <w:rPr>
          <w:sz w:val="22"/>
        </w:rPr>
      </w:pPr>
      <w:r w:rsidRPr="005918D5">
        <w:rPr>
          <w:sz w:val="22"/>
        </w:rPr>
        <w:br/>
      </w:r>
      <w:r w:rsidR="00663396" w:rsidRPr="005918D5">
        <w:rPr>
          <w:sz w:val="22"/>
        </w:rPr>
        <w:t> </w:t>
      </w:r>
      <w:r w:rsidR="00663396" w:rsidRPr="005918D5">
        <w:rPr>
          <w:rStyle w:val="Emphasis"/>
          <w:sz w:val="22"/>
        </w:rPr>
        <w:t>Habitats Directive</w:t>
      </w:r>
      <w:r w:rsidR="00663396" w:rsidRPr="005918D5">
        <w:rPr>
          <w:sz w:val="22"/>
        </w:rPr>
        <w:t xml:space="preserve"> – This </w:t>
      </w:r>
      <w:r w:rsidR="00944027" w:rsidRPr="005918D5">
        <w:rPr>
          <w:sz w:val="22"/>
        </w:rPr>
        <w:t xml:space="preserve">directive </w:t>
      </w:r>
      <w:r w:rsidR="00663396" w:rsidRPr="005918D5">
        <w:rPr>
          <w:sz w:val="22"/>
        </w:rPr>
        <w:t xml:space="preserve">regulates the effects on natural habitats by designating areas called Special Areas of Conservation (SACs). Although SACs are often quite small areas of critically important habitat for designated species, the risks from this legislation derive from the possibility that anything </w:t>
      </w:r>
      <w:r w:rsidR="00AB798B" w:rsidRPr="005918D5">
        <w:rPr>
          <w:sz w:val="22"/>
        </w:rPr>
        <w:t xml:space="preserve">can </w:t>
      </w:r>
      <w:r w:rsidR="00663396" w:rsidRPr="005918D5">
        <w:rPr>
          <w:sz w:val="22"/>
        </w:rPr>
        <w:t xml:space="preserve">affect that "special conservation status" of the featured species in that small area </w:t>
      </w:r>
      <w:r w:rsidR="00AB798B" w:rsidRPr="005918D5">
        <w:rPr>
          <w:sz w:val="22"/>
        </w:rPr>
        <w:t xml:space="preserve">and </w:t>
      </w:r>
      <w:r w:rsidR="00663396" w:rsidRPr="005918D5">
        <w:rPr>
          <w:sz w:val="22"/>
        </w:rPr>
        <w:t xml:space="preserve">lead to an infraction. For large mobile species like marine mammals and </w:t>
      </w:r>
      <w:r w:rsidR="00663396" w:rsidRPr="005918D5">
        <w:rPr>
          <w:sz w:val="22"/>
        </w:rPr>
        <w:lastRenderedPageBreak/>
        <w:t xml:space="preserve">seabirds, virtually anything that is done anywhere could affect the special conservation status of these species. Moreover, SACs for these species have been placed in such a way to ensure </w:t>
      </w:r>
      <w:r w:rsidR="00AB798B" w:rsidRPr="005918D5">
        <w:rPr>
          <w:sz w:val="22"/>
        </w:rPr>
        <w:t xml:space="preserve">the </w:t>
      </w:r>
      <w:r w:rsidR="00663396" w:rsidRPr="005918D5">
        <w:rPr>
          <w:sz w:val="22"/>
        </w:rPr>
        <w:t>total coverage of Europe's regional seas and coastlines. A further feature of this legislation is that those exploiting the environment must show their commercial and industrial activities</w:t>
      </w:r>
      <w:r w:rsidR="00AB798B" w:rsidRPr="005918D5">
        <w:rPr>
          <w:sz w:val="22"/>
        </w:rPr>
        <w:t>, which</w:t>
      </w:r>
      <w:r w:rsidR="00663396" w:rsidRPr="005918D5">
        <w:rPr>
          <w:sz w:val="22"/>
        </w:rPr>
        <w:t xml:space="preserve"> will not affect the advance of any implementations and developments. So, they must prove a negative. This is, of course, impossible, but it adds to the overall risks attached to </w:t>
      </w:r>
      <w:r w:rsidR="00AB798B" w:rsidRPr="005918D5">
        <w:rPr>
          <w:sz w:val="22"/>
        </w:rPr>
        <w:t xml:space="preserve">the </w:t>
      </w:r>
      <w:r w:rsidR="00663396" w:rsidRPr="005918D5">
        <w:rPr>
          <w:sz w:val="22"/>
        </w:rPr>
        <w:t>development in the offshore region.</w:t>
      </w:r>
      <w:r w:rsidRPr="005918D5">
        <w:rPr>
          <w:sz w:val="22"/>
        </w:rPr>
        <w:br/>
      </w:r>
      <w:r w:rsidR="00D60551" w:rsidRPr="005918D5">
        <w:rPr>
          <w:sz w:val="22"/>
        </w:rPr>
        <w:t> </w:t>
      </w:r>
      <w:r w:rsidR="00D60551" w:rsidRPr="005918D5">
        <w:rPr>
          <w:rStyle w:val="Emphasis"/>
          <w:sz w:val="22"/>
        </w:rPr>
        <w:t>Marine Strategy Framework Directive </w:t>
      </w:r>
      <w:r w:rsidR="00D60551" w:rsidRPr="005918D5">
        <w:rPr>
          <w:sz w:val="22"/>
        </w:rPr>
        <w:t>(MSFD) – This directive was adopted in 2008, and it regulates all issues related to the protection of natural resources used and involved in marine commercial, industrial</w:t>
      </w:r>
      <w:r w:rsidR="00AB798B" w:rsidRPr="005918D5">
        <w:rPr>
          <w:sz w:val="22"/>
        </w:rPr>
        <w:t>,</w:t>
      </w:r>
      <w:r w:rsidR="00D60551" w:rsidRPr="005918D5">
        <w:rPr>
          <w:sz w:val="22"/>
        </w:rPr>
        <w:t xml:space="preserve"> and social activities. The directive provides legislative coverage for four European marine regions – the North-East Atlantic Ocean, the Baltic Sea, the Mediterranean Sea, and the Black Sea. The main policy contribution of the marine strategy directive is the definition of a concept called Good Environmental Status (GES 2020), </w:t>
      </w:r>
      <w:r w:rsidR="005920B5">
        <w:rPr>
          <w:sz w:val="22"/>
        </w:rPr>
        <w:t xml:space="preserve">with five distinct process components (see Figure 8.1), and </w:t>
      </w:r>
      <w:r w:rsidR="00D60551" w:rsidRPr="005918D5">
        <w:rPr>
          <w:sz w:val="22"/>
        </w:rPr>
        <w:t>with two critical sub-components or sub-metrics. Firstly, the establishment and measurement of initial assessments, or initial conditions, was accomplished in the 2012–2014</w:t>
      </w:r>
      <w:r w:rsidR="00AB798B" w:rsidRPr="005918D5">
        <w:rPr>
          <w:sz w:val="22"/>
        </w:rPr>
        <w:t xml:space="preserve"> </w:t>
      </w:r>
      <w:r w:rsidR="00D60551" w:rsidRPr="005918D5">
        <w:rPr>
          <w:sz w:val="22"/>
        </w:rPr>
        <w:t xml:space="preserve">time period. , </w:t>
      </w:r>
      <w:r w:rsidR="00E23D40" w:rsidRPr="005918D5">
        <w:rPr>
          <w:sz w:val="22"/>
        </w:rPr>
        <w:t xml:space="preserve">Secondly, </w:t>
      </w:r>
      <w:r w:rsidR="00D60551" w:rsidRPr="005918D5">
        <w:rPr>
          <w:sz w:val="22"/>
        </w:rPr>
        <w:t>from 2015 through 2018 c</w:t>
      </w:r>
      <w:r w:rsidR="00AB798B" w:rsidRPr="005918D5">
        <w:rPr>
          <w:sz w:val="22"/>
        </w:rPr>
        <w:t>ame</w:t>
      </w:r>
      <w:r w:rsidR="00D60551" w:rsidRPr="005918D5">
        <w:rPr>
          <w:sz w:val="22"/>
        </w:rPr>
        <w:t xml:space="preserve"> the development of a monitoring program and a measure plan to achieve the environmental ‘goodness’ status by 2020. Lastly, the cycles of monitoring and measures </w:t>
      </w:r>
      <w:r w:rsidR="00AB798B" w:rsidRPr="005918D5">
        <w:rPr>
          <w:sz w:val="22"/>
        </w:rPr>
        <w:t xml:space="preserve">are </w:t>
      </w:r>
      <w:r w:rsidR="00D60551" w:rsidRPr="005918D5">
        <w:rPr>
          <w:sz w:val="22"/>
        </w:rPr>
        <w:t>repeat</w:t>
      </w:r>
      <w:r w:rsidR="00AB798B" w:rsidRPr="005918D5">
        <w:rPr>
          <w:sz w:val="22"/>
        </w:rPr>
        <w:t>ed</w:t>
      </w:r>
      <w:r w:rsidR="00D60551" w:rsidRPr="005918D5">
        <w:rPr>
          <w:sz w:val="22"/>
        </w:rPr>
        <w:t xml:space="preserve"> from 2018 to 2021. This overall monitoring and measuring strategies are driven by 11 quantitative metrics, which cover baseline species status, non-indigenous species introduction, commercial exploitation of species, but also seafloor resources, the concentration of contaminants</w:t>
      </w:r>
      <w:r w:rsidR="00E23D40" w:rsidRPr="005918D5">
        <w:rPr>
          <w:sz w:val="22"/>
        </w:rPr>
        <w:t>,</w:t>
      </w:r>
      <w:r w:rsidR="00D60551" w:rsidRPr="005918D5">
        <w:rPr>
          <w:sz w:val="22"/>
        </w:rPr>
        <w:t xml:space="preserve"> and others (MSFD, Annex 1). In practice, these 11 quantitative indicators drive the </w:t>
      </w:r>
      <w:r w:rsidR="004938A0">
        <w:rPr>
          <w:sz w:val="22"/>
        </w:rPr>
        <w:t>processes of the M</w:t>
      </w:r>
      <w:r w:rsidR="00D60551" w:rsidRPr="005918D5">
        <w:rPr>
          <w:sz w:val="22"/>
        </w:rPr>
        <w:t>onitoring</w:t>
      </w:r>
      <w:r w:rsidR="004938A0">
        <w:rPr>
          <w:sz w:val="22"/>
        </w:rPr>
        <w:t xml:space="preserve"> Program</w:t>
      </w:r>
      <w:r w:rsidR="00B75767">
        <w:rPr>
          <w:sz w:val="22"/>
        </w:rPr>
        <w:t>, defined in 2014</w:t>
      </w:r>
      <w:r w:rsidR="004938A0">
        <w:rPr>
          <w:sz w:val="22"/>
        </w:rPr>
        <w:t xml:space="preserve"> (see Figure 8.1) </w:t>
      </w:r>
      <w:r w:rsidR="00D60551" w:rsidRPr="005918D5">
        <w:rPr>
          <w:sz w:val="22"/>
        </w:rPr>
        <w:t>of the resilience and functioning</w:t>
      </w:r>
      <w:r w:rsidR="00E36C35">
        <w:rPr>
          <w:sz w:val="22"/>
        </w:rPr>
        <w:t xml:space="preserve"> of the whole GES initiative</w:t>
      </w:r>
      <w:r w:rsidR="00D60551" w:rsidRPr="005918D5">
        <w:rPr>
          <w:sz w:val="22"/>
        </w:rPr>
        <w:t>, as well as structural changes of GES 2020 due to human, commercial, industrial, and recreational activities. MFSD 2008 also enhances the agility of EU regulation implementations by serving as a bridge with other legislation pieces and directives</w:t>
      </w:r>
      <w:r w:rsidR="00AB798B" w:rsidRPr="005918D5">
        <w:rPr>
          <w:sz w:val="22"/>
        </w:rPr>
        <w:t xml:space="preserve"> and</w:t>
      </w:r>
      <w:r w:rsidR="00D60551" w:rsidRPr="005918D5">
        <w:rPr>
          <w:sz w:val="22"/>
        </w:rPr>
        <w:t xml:space="preserve"> by requiring </w:t>
      </w:r>
      <w:r w:rsidR="00AB798B" w:rsidRPr="005918D5">
        <w:rPr>
          <w:sz w:val="22"/>
        </w:rPr>
        <w:t xml:space="preserve">the </w:t>
      </w:r>
      <w:r w:rsidR="00D60551" w:rsidRPr="005918D5">
        <w:rPr>
          <w:sz w:val="22"/>
        </w:rPr>
        <w:t xml:space="preserve">continuous assessment and monitoring of the functioning of marine ecosystems, such that environmental changes are linked to human activities and pressures. The desired outcome is a process, which allows causes and consequences to baseline parameters of the marine environment to be identified, controlled, and managed with a multitude of legislative instruments to ensure </w:t>
      </w:r>
      <w:r w:rsidR="00AB798B" w:rsidRPr="005918D5">
        <w:rPr>
          <w:sz w:val="22"/>
        </w:rPr>
        <w:t xml:space="preserve">that </w:t>
      </w:r>
      <w:r w:rsidR="00D60551" w:rsidRPr="005918D5">
        <w:rPr>
          <w:sz w:val="22"/>
        </w:rPr>
        <w:t>each community member state meets the goals of GES 2020</w:t>
      </w:r>
      <w:r w:rsidR="00B75767">
        <w:rPr>
          <w:sz w:val="22"/>
        </w:rPr>
        <w:t>, which will trigger acceptance and commencement of the second cycle of the initiative to be complete by 2021 (see Figure 8.1)</w:t>
      </w:r>
      <w:r w:rsidR="00D60551" w:rsidRPr="005918D5">
        <w:rPr>
          <w:sz w:val="22"/>
        </w:rPr>
        <w:t>. The</w:t>
      </w:r>
      <w:r w:rsidR="00AB798B" w:rsidRPr="005918D5">
        <w:rPr>
          <w:sz w:val="22"/>
        </w:rPr>
        <w:t>se goals</w:t>
      </w:r>
      <w:r w:rsidR="00D60551" w:rsidRPr="005918D5">
        <w:rPr>
          <w:sz w:val="22"/>
        </w:rPr>
        <w:t xml:space="preserve"> represent a balance of the </w:t>
      </w:r>
      <w:r w:rsidR="00E23D40" w:rsidRPr="005918D5">
        <w:rPr>
          <w:sz w:val="22"/>
        </w:rPr>
        <w:t xml:space="preserve">social and economic </w:t>
      </w:r>
      <w:r w:rsidR="00D60551" w:rsidRPr="005918D5">
        <w:rPr>
          <w:sz w:val="22"/>
        </w:rPr>
        <w:t xml:space="preserve">benefits of marine activities and the fitness of indicators and targets of the health of marine biodiversity and ecological systems. </w:t>
      </w:r>
      <w:r w:rsidR="00E23D40" w:rsidRPr="005918D5">
        <w:rPr>
          <w:sz w:val="22"/>
        </w:rPr>
        <w:t>The</w:t>
      </w:r>
      <w:r w:rsidR="00D60551" w:rsidRPr="005918D5">
        <w:rPr>
          <w:sz w:val="22"/>
        </w:rPr>
        <w:t xml:space="preserve"> proposed model measures and reports changes in these biodiversity goodness of health targets and indicators.</w:t>
      </w:r>
    </w:p>
    <w:p w14:paraId="4A77FCD3" w14:textId="04A6794D" w:rsidR="00AF2022" w:rsidRDefault="00AF2022" w:rsidP="00DF4684">
      <w:pPr>
        <w:spacing w:after="120" w:line="360" w:lineRule="auto"/>
        <w:jc w:val="both"/>
        <w:rPr>
          <w:sz w:val="22"/>
        </w:rPr>
      </w:pPr>
    </w:p>
    <w:p w14:paraId="0188299C" w14:textId="194FE1A8" w:rsidR="00D914B2" w:rsidRDefault="00D914B2" w:rsidP="00DF4684">
      <w:pPr>
        <w:spacing w:after="120" w:line="360" w:lineRule="auto"/>
        <w:jc w:val="both"/>
        <w:rPr>
          <w:sz w:val="22"/>
        </w:rPr>
      </w:pPr>
    </w:p>
    <w:p w14:paraId="2890B376" w14:textId="5AC8BAC5" w:rsidR="00D914B2" w:rsidRDefault="00D914B2" w:rsidP="00DF4684">
      <w:pPr>
        <w:spacing w:after="120" w:line="360" w:lineRule="auto"/>
        <w:jc w:val="both"/>
        <w:rPr>
          <w:sz w:val="22"/>
        </w:rPr>
      </w:pPr>
    </w:p>
    <w:p w14:paraId="61B1F2E7" w14:textId="77777777" w:rsidR="00D914B2" w:rsidRPr="005918D5" w:rsidRDefault="00D914B2" w:rsidP="00DF4684">
      <w:pPr>
        <w:spacing w:after="120" w:line="360" w:lineRule="auto"/>
        <w:jc w:val="both"/>
        <w:rPr>
          <w:sz w:val="22"/>
        </w:rPr>
      </w:pPr>
    </w:p>
    <w:p w14:paraId="50FF34BD" w14:textId="7BC6EA8E" w:rsidR="00624D72" w:rsidRPr="005918D5" w:rsidRDefault="00F17423" w:rsidP="00DF4684">
      <w:pPr>
        <w:spacing w:after="120" w:line="360" w:lineRule="auto"/>
        <w:jc w:val="both"/>
        <w:rPr>
          <w:sz w:val="22"/>
        </w:rPr>
      </w:pPr>
      <w:r w:rsidRPr="005918D5">
        <w:rPr>
          <w:noProof/>
          <w:sz w:val="22"/>
          <w:lang w:val="en-CA" w:eastAsia="en-CA"/>
        </w:rPr>
        <mc:AlternateContent>
          <mc:Choice Requires="wpg">
            <w:drawing>
              <wp:anchor distT="0" distB="0" distL="114300" distR="114300" simplePos="0" relativeHeight="251661312" behindDoc="0" locked="0" layoutInCell="1" allowOverlap="1" wp14:anchorId="151B7768" wp14:editId="445CB766">
                <wp:simplePos x="0" y="0"/>
                <wp:positionH relativeFrom="margin">
                  <wp:posOffset>-285750</wp:posOffset>
                </wp:positionH>
                <wp:positionV relativeFrom="paragraph">
                  <wp:posOffset>340995</wp:posOffset>
                </wp:positionV>
                <wp:extent cx="6154418" cy="3409950"/>
                <wp:effectExtent l="0" t="0" r="0" b="0"/>
                <wp:wrapNone/>
                <wp:docPr id="4" name="Group 2"/>
                <wp:cNvGraphicFramePr/>
                <a:graphic xmlns:a="http://schemas.openxmlformats.org/drawingml/2006/main">
                  <a:graphicData uri="http://schemas.microsoft.com/office/word/2010/wordprocessingGroup">
                    <wpg:wgp>
                      <wpg:cNvGrpSpPr/>
                      <wpg:grpSpPr>
                        <a:xfrm>
                          <a:off x="0" y="0"/>
                          <a:ext cx="6154418" cy="3409950"/>
                          <a:chOff x="-102088" y="-74141"/>
                          <a:chExt cx="5867399" cy="3429000"/>
                        </a:xfrm>
                      </wpg:grpSpPr>
                      <wpg:graphicFrame>
                        <wpg:cNvPr id="5" name="Diagram 5"/>
                        <wpg:cNvFrPr/>
                        <wpg:xfrm>
                          <a:off x="-102088" y="-74141"/>
                          <a:ext cx="5867399" cy="3429000"/>
                        </wpg:xfrm>
                        <a:graphic>
                          <a:graphicData uri="http://schemas.openxmlformats.org/drawingml/2006/diagram">
                            <dgm:relIds xmlns:dgm="http://schemas.openxmlformats.org/drawingml/2006/diagram" xmlns:r="http://schemas.openxmlformats.org/officeDocument/2006/relationships" r:dm="rId10" r:lo="rId11" r:qs="rId12" r:cs="rId13"/>
                          </a:graphicData>
                        </a:graphic>
                      </wpg:graphicFrame>
                      <wps:wsp>
                        <wps:cNvPr id="6" name="Hexagon 6"/>
                        <wps:cNvSpPr/>
                        <wps:spPr>
                          <a:xfrm>
                            <a:off x="2133370" y="1289125"/>
                            <a:ext cx="1206161" cy="1040866"/>
                          </a:xfrm>
                          <a:prstGeom prst="hexagon">
                            <a:avLst/>
                          </a:prstGeom>
                          <a:solidFill>
                            <a:sysClr val="window" lastClr="FFFFFF"/>
                          </a:solidFill>
                          <a:ln w="25400" cap="flat" cmpd="sng" algn="ctr">
                            <a:solidFill>
                              <a:srgbClr val="4F81BD">
                                <a:shade val="50000"/>
                              </a:srgbClr>
                            </a:solidFill>
                            <a:prstDash val="solid"/>
                          </a:ln>
                          <a:effectLst/>
                        </wps:spPr>
                        <wps:txbx>
                          <w:txbxContent>
                            <w:p w14:paraId="5ADE15EE" w14:textId="77777777" w:rsidR="00D90F37" w:rsidRPr="00C827B8" w:rsidRDefault="00D90F37" w:rsidP="000B660B">
                              <w:pPr>
                                <w:pStyle w:val="NormalWeb"/>
                                <w:spacing w:before="0" w:beforeAutospacing="0" w:after="0" w:afterAutospacing="0"/>
                                <w:jc w:val="center"/>
                                <w:textAlignment w:val="baseline"/>
                                <w:rPr>
                                  <w:sz w:val="28"/>
                                  <w:szCs w:val="28"/>
                                </w:rPr>
                              </w:pPr>
                              <w:r w:rsidRPr="00C827B8">
                                <w:rPr>
                                  <w:rFonts w:eastAsia="Times New Roman" w:cstheme="minorBidi"/>
                                  <w:b/>
                                  <w:bCs/>
                                  <w:color w:val="0070C0"/>
                                  <w:kern w:val="24"/>
                                  <w:sz w:val="28"/>
                                  <w:szCs w:val="28"/>
                                  <w:lang w:val="en-GB"/>
                                </w:rPr>
                                <w:t>GES 2020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1B7768" id="Group 2" o:spid="_x0000_s1026" style="position:absolute;left:0;text-align:left;margin-left:-22.5pt;margin-top:26.85pt;width:484.6pt;height:268.5pt;z-index:251661312;mso-position-horizontal-relative:margin;mso-width-relative:margin;mso-height-relative:margin" coordorigin="-1020,-741" coordsize="58673,34290"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5" o:spid="_x0000_s1027" type="#_x0000_t75" style="position:absolute;left:8859;top:-864;width:39054;height:34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">
                  <v:imagedata r:id="rId15" o:title=""/>
                  <o:lock v:ext="edit" aspectratio="f"/>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8" type="#_x0000_t9" style="position:absolute;left:21333;top:12891;width:12062;height:10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" adj="4660" fillcolor="window" strokecolor="#385d8a" strokeweight="2pt">
                  <v:textbox>
                    <w:txbxContent>
                      <w:p w14:paraId="5ADE15EE" w14:textId="77777777" w:rsidR="00D90F37" w:rsidRPr="00C827B8" w:rsidRDefault="00D90F37" w:rsidP="000B660B">
                        <w:pPr>
                          <w:pStyle w:val="NormalWeb"/>
                          <w:spacing w:before="0" w:beforeAutospacing="0" w:after="0" w:afterAutospacing="0"/>
                          <w:jc w:val="center"/>
                          <w:textAlignment w:val="baseline"/>
                          <w:rPr>
                            <w:sz w:val="28"/>
                            <w:szCs w:val="28"/>
                          </w:rPr>
                        </w:pPr>
                        <w:r w:rsidRPr="00C827B8">
                          <w:rPr>
                            <w:rFonts w:eastAsia="Times New Roman" w:cstheme="minorBidi"/>
                            <w:b/>
                            <w:bCs/>
                            <w:color w:val="0070C0"/>
                            <w:kern w:val="24"/>
                            <w:sz w:val="28"/>
                            <w:szCs w:val="28"/>
                            <w:lang w:val="en-GB"/>
                          </w:rPr>
                          <w:t>GES 2020</w:t>
                        </w:r>
                      </w:p>
                    </w:txbxContent>
                  </v:textbox>
                </v:shape>
                <w10:wrap anchorx="margin"/>
              </v:group>
            </w:pict>
          </mc:Fallback>
        </mc:AlternateContent>
      </w:r>
      <w:r w:rsidR="008744AA" w:rsidRPr="005918D5">
        <w:rPr>
          <w:sz w:val="22"/>
        </w:rPr>
        <w:t xml:space="preserve">Figure </w:t>
      </w:r>
      <w:r w:rsidR="00DF4684" w:rsidRPr="005918D5">
        <w:rPr>
          <w:sz w:val="22"/>
        </w:rPr>
        <w:t>8.</w:t>
      </w:r>
      <w:r w:rsidR="008744AA" w:rsidRPr="005918D5">
        <w:rPr>
          <w:sz w:val="22"/>
        </w:rPr>
        <w:t xml:space="preserve">1: Timelines, </w:t>
      </w:r>
      <w:r w:rsidR="00E23D40" w:rsidRPr="005918D5">
        <w:rPr>
          <w:sz w:val="22"/>
        </w:rPr>
        <w:t>c</w:t>
      </w:r>
      <w:r w:rsidR="008744AA" w:rsidRPr="005918D5">
        <w:rPr>
          <w:sz w:val="22"/>
        </w:rPr>
        <w:t>omponents</w:t>
      </w:r>
      <w:r w:rsidR="00E23D40" w:rsidRPr="005918D5">
        <w:rPr>
          <w:sz w:val="22"/>
        </w:rPr>
        <w:t>,</w:t>
      </w:r>
      <w:r w:rsidR="008744AA" w:rsidRPr="005918D5">
        <w:rPr>
          <w:sz w:val="22"/>
        </w:rPr>
        <w:t xml:space="preserve"> and </w:t>
      </w:r>
      <w:r w:rsidR="00E23D40" w:rsidRPr="005918D5">
        <w:rPr>
          <w:sz w:val="22"/>
        </w:rPr>
        <w:t>d</w:t>
      </w:r>
      <w:r w:rsidR="008744AA" w:rsidRPr="005918D5">
        <w:rPr>
          <w:sz w:val="22"/>
        </w:rPr>
        <w:t>ependencies in GES 2020</w:t>
      </w:r>
    </w:p>
    <w:p w14:paraId="4B94D5A5" w14:textId="486C3F58" w:rsidR="007951D2" w:rsidRPr="005918D5" w:rsidRDefault="007951D2" w:rsidP="00DF4684">
      <w:pPr>
        <w:spacing w:after="120" w:line="360" w:lineRule="auto"/>
        <w:jc w:val="both"/>
        <w:rPr>
          <w:sz w:val="22"/>
        </w:rPr>
      </w:pPr>
    </w:p>
    <w:p w14:paraId="3DEEC669" w14:textId="00EABFF7" w:rsidR="007951D2" w:rsidRPr="005918D5" w:rsidRDefault="007951D2" w:rsidP="00DF4684">
      <w:pPr>
        <w:spacing w:after="120" w:line="360" w:lineRule="auto"/>
        <w:jc w:val="both"/>
        <w:rPr>
          <w:sz w:val="22"/>
        </w:rPr>
      </w:pPr>
    </w:p>
    <w:p w14:paraId="3656B9AB" w14:textId="77777777" w:rsidR="00106E3C" w:rsidRPr="005918D5" w:rsidRDefault="00106E3C" w:rsidP="00DF4684">
      <w:pPr>
        <w:spacing w:after="120" w:line="360" w:lineRule="auto"/>
        <w:jc w:val="both"/>
        <w:rPr>
          <w:iCs/>
          <w:sz w:val="22"/>
        </w:rPr>
      </w:pPr>
    </w:p>
    <w:p w14:paraId="5A25044D" w14:textId="77777777" w:rsidR="000B660B" w:rsidRPr="005918D5" w:rsidRDefault="000B660B" w:rsidP="00DF4684">
      <w:pPr>
        <w:spacing w:after="120" w:line="360" w:lineRule="auto"/>
        <w:jc w:val="both"/>
        <w:rPr>
          <w:i/>
          <w:iCs/>
          <w:sz w:val="22"/>
        </w:rPr>
      </w:pPr>
    </w:p>
    <w:p w14:paraId="2D5E62F4" w14:textId="77777777" w:rsidR="000B660B" w:rsidRPr="005918D5" w:rsidRDefault="000B660B" w:rsidP="00DF4684">
      <w:pPr>
        <w:spacing w:after="120" w:line="360" w:lineRule="auto"/>
        <w:jc w:val="both"/>
        <w:rPr>
          <w:i/>
          <w:iCs/>
          <w:sz w:val="22"/>
        </w:rPr>
      </w:pPr>
    </w:p>
    <w:p w14:paraId="3BB70634" w14:textId="77777777" w:rsidR="000B660B" w:rsidRPr="005918D5" w:rsidRDefault="000B660B" w:rsidP="00DF4684">
      <w:pPr>
        <w:spacing w:after="120" w:line="360" w:lineRule="auto"/>
        <w:jc w:val="both"/>
        <w:rPr>
          <w:i/>
          <w:iCs/>
          <w:sz w:val="22"/>
        </w:rPr>
      </w:pPr>
    </w:p>
    <w:p w14:paraId="7D0E2E04" w14:textId="77777777" w:rsidR="000B660B" w:rsidRPr="005918D5" w:rsidRDefault="000B660B" w:rsidP="00DF4684">
      <w:pPr>
        <w:spacing w:after="120" w:line="360" w:lineRule="auto"/>
        <w:jc w:val="both"/>
        <w:rPr>
          <w:i/>
          <w:iCs/>
          <w:sz w:val="22"/>
        </w:rPr>
      </w:pPr>
    </w:p>
    <w:p w14:paraId="6FA51D9A" w14:textId="77777777" w:rsidR="000B660B" w:rsidRPr="005918D5" w:rsidRDefault="000B660B" w:rsidP="00DF4684">
      <w:pPr>
        <w:spacing w:after="120" w:line="360" w:lineRule="auto"/>
        <w:jc w:val="both"/>
        <w:rPr>
          <w:i/>
          <w:iCs/>
          <w:sz w:val="22"/>
        </w:rPr>
      </w:pPr>
    </w:p>
    <w:p w14:paraId="4290CBE9" w14:textId="77777777" w:rsidR="000B660B" w:rsidRPr="005918D5" w:rsidRDefault="000B660B" w:rsidP="00DF4684">
      <w:pPr>
        <w:spacing w:after="120" w:line="360" w:lineRule="auto"/>
        <w:jc w:val="both"/>
        <w:rPr>
          <w:i/>
          <w:iCs/>
          <w:sz w:val="22"/>
        </w:rPr>
      </w:pPr>
    </w:p>
    <w:p w14:paraId="7CE84789" w14:textId="77777777" w:rsidR="00D914B2" w:rsidRDefault="00D914B2" w:rsidP="00DF4684">
      <w:pPr>
        <w:spacing w:after="120" w:line="360" w:lineRule="auto"/>
        <w:jc w:val="both"/>
        <w:rPr>
          <w:rStyle w:val="Emphasis"/>
          <w:sz w:val="22"/>
        </w:rPr>
      </w:pPr>
    </w:p>
    <w:p w14:paraId="6F57E483" w14:textId="77777777" w:rsidR="00D914B2" w:rsidRDefault="00D914B2" w:rsidP="00DF4684">
      <w:pPr>
        <w:spacing w:after="120" w:line="360" w:lineRule="auto"/>
        <w:jc w:val="both"/>
        <w:rPr>
          <w:rStyle w:val="Emphasis"/>
          <w:sz w:val="22"/>
        </w:rPr>
      </w:pPr>
    </w:p>
    <w:p w14:paraId="1F15EA38" w14:textId="77777777" w:rsidR="00D914B2" w:rsidRDefault="00D914B2" w:rsidP="00DF4684">
      <w:pPr>
        <w:spacing w:after="120" w:line="360" w:lineRule="auto"/>
        <w:jc w:val="both"/>
        <w:rPr>
          <w:rStyle w:val="Emphasis"/>
          <w:sz w:val="22"/>
        </w:rPr>
      </w:pPr>
    </w:p>
    <w:p w14:paraId="7C4DCB6B" w14:textId="3516EA4C" w:rsidR="00D60551" w:rsidRPr="005918D5" w:rsidRDefault="00D60551" w:rsidP="00DF4684">
      <w:pPr>
        <w:spacing w:after="120" w:line="360" w:lineRule="auto"/>
        <w:jc w:val="both"/>
        <w:rPr>
          <w:sz w:val="22"/>
        </w:rPr>
      </w:pPr>
      <w:r w:rsidRPr="005918D5">
        <w:rPr>
          <w:rStyle w:val="Emphasis"/>
          <w:sz w:val="22"/>
        </w:rPr>
        <w:t>Environmental Liability Directive</w:t>
      </w:r>
      <w:r w:rsidRPr="005918D5">
        <w:rPr>
          <w:sz w:val="22"/>
        </w:rPr>
        <w:t xml:space="preserve"> (ELD) - This directive has been in force since April 2007. This liability legislation covers only certain industrial activities, </w:t>
      </w:r>
      <w:r w:rsidR="00944027" w:rsidRPr="005918D5">
        <w:rPr>
          <w:sz w:val="22"/>
        </w:rPr>
        <w:t>such as</w:t>
      </w:r>
      <w:r w:rsidRPr="005918D5">
        <w:rPr>
          <w:sz w:val="22"/>
        </w:rPr>
        <w:t xml:space="preserve"> the transportation of dangerous products, the handling of hazardous substances, waste management operations, and plant protection products. The fundamental contribution of the directive is the legal establishment of the ‘polluter pays’ principle</w:t>
      </w:r>
      <w:r w:rsidR="00944027" w:rsidRPr="005918D5">
        <w:rPr>
          <w:sz w:val="22"/>
        </w:rPr>
        <w:t>, i.e.,</w:t>
      </w:r>
      <w:r w:rsidRPr="005918D5">
        <w:rPr>
          <w:sz w:val="22"/>
        </w:rPr>
        <w:t xml:space="preserve"> the public sector should not </w:t>
      </w:r>
      <w:r w:rsidR="00E23D40" w:rsidRPr="005918D5">
        <w:rPr>
          <w:sz w:val="22"/>
        </w:rPr>
        <w:t xml:space="preserve">provide </w:t>
      </w:r>
      <w:r w:rsidRPr="005918D5">
        <w:rPr>
          <w:sz w:val="22"/>
        </w:rPr>
        <w:t xml:space="preserve">resource funds for remediation of environmental damage by private commercial and industrial operators. The directive requires both preventive of immediate threat and restoration post-damage action of liable operators, who bare the entire cost. A satisfactory outcome after environmental damage has occurred </w:t>
      </w:r>
      <w:r w:rsidR="00474B19" w:rsidRPr="005918D5">
        <w:rPr>
          <w:sz w:val="22"/>
        </w:rPr>
        <w:t xml:space="preserve">is </w:t>
      </w:r>
      <w:r w:rsidRPr="005918D5">
        <w:rPr>
          <w:sz w:val="22"/>
        </w:rPr>
        <w:t xml:space="preserve">the recovery to the baseline </w:t>
      </w:r>
      <w:r w:rsidR="00944027" w:rsidRPr="005918D5">
        <w:rPr>
          <w:sz w:val="22"/>
        </w:rPr>
        <w:t xml:space="preserve">of </w:t>
      </w:r>
      <w:r w:rsidRPr="005918D5">
        <w:rPr>
          <w:sz w:val="22"/>
        </w:rPr>
        <w:t xml:space="preserve">pre-damage condition of </w:t>
      </w:r>
      <w:r w:rsidR="00944027" w:rsidRPr="005918D5">
        <w:rPr>
          <w:sz w:val="22"/>
        </w:rPr>
        <w:t xml:space="preserve">the </w:t>
      </w:r>
      <w:r w:rsidRPr="005918D5">
        <w:rPr>
          <w:sz w:val="22"/>
        </w:rPr>
        <w:t>environment, including biodiversity assets. For this proposal, it is significant that the directive does not apply in the case of force majeure</w:t>
      </w:r>
      <w:r w:rsidR="00E23D40" w:rsidRPr="005918D5">
        <w:rPr>
          <w:sz w:val="22"/>
        </w:rPr>
        <w:t>,</w:t>
      </w:r>
      <w:r w:rsidRPr="005918D5">
        <w:rPr>
          <w:sz w:val="22"/>
        </w:rPr>
        <w:t xml:space="preserve"> and notably in cases of maritime oil disasters, and cumulative forest and natural habitat decline. Damage and loss </w:t>
      </w:r>
      <w:r w:rsidR="00944027" w:rsidRPr="005918D5">
        <w:rPr>
          <w:sz w:val="22"/>
        </w:rPr>
        <w:t>of</w:t>
      </w:r>
      <w:r w:rsidRPr="005918D5">
        <w:rPr>
          <w:sz w:val="22"/>
        </w:rPr>
        <w:t xml:space="preserve"> protected species and natural habitats caused by officially approved infrastructure projects</w:t>
      </w:r>
      <w:r w:rsidR="00944027" w:rsidRPr="005918D5">
        <w:rPr>
          <w:sz w:val="22"/>
        </w:rPr>
        <w:t>,</w:t>
      </w:r>
      <w:r w:rsidRPr="005918D5">
        <w:rPr>
          <w:sz w:val="22"/>
        </w:rPr>
        <w:t xml:space="preserve"> such as motorways, bridges, ports, offshore industrial and energy facilities, are not considered as environmental damage, </w:t>
      </w:r>
      <w:r w:rsidRPr="005918D5">
        <w:rPr>
          <w:sz w:val="22"/>
        </w:rPr>
        <w:lastRenderedPageBreak/>
        <w:t xml:space="preserve">provided that the operator and the state authority have taken those into account during the process of their official authorization. However, this </w:t>
      </w:r>
      <w:r w:rsidR="00944027" w:rsidRPr="005918D5">
        <w:rPr>
          <w:sz w:val="22"/>
        </w:rPr>
        <w:t xml:space="preserve">rule </w:t>
      </w:r>
      <w:r w:rsidRPr="005918D5">
        <w:rPr>
          <w:sz w:val="22"/>
        </w:rPr>
        <w:t>highlights another subset of</w:t>
      </w:r>
      <w:r w:rsidR="00ED3A5B" w:rsidRPr="005918D5">
        <w:rPr>
          <w:sz w:val="22"/>
        </w:rPr>
        <w:t xml:space="preserve"> </w:t>
      </w:r>
      <w:r w:rsidRPr="005918D5">
        <w:rPr>
          <w:sz w:val="22"/>
        </w:rPr>
        <w:t>regulatory risk</w:t>
      </w:r>
      <w:r w:rsidR="00ED3A5B" w:rsidRPr="005918D5">
        <w:rPr>
          <w:sz w:val="22"/>
        </w:rPr>
        <w:t xml:space="preserve"> </w:t>
      </w:r>
      <w:r w:rsidRPr="005918D5">
        <w:rPr>
          <w:sz w:val="22"/>
        </w:rPr>
        <w:t>involving the need to ensure that any developments are accompanied by appropriate and thorough up-front risk assessment and evaluation with due diligence.</w:t>
      </w:r>
    </w:p>
    <w:p w14:paraId="32DB03A3" w14:textId="4B8B0F33" w:rsidR="00D60551" w:rsidRPr="005918D5" w:rsidRDefault="00D60551" w:rsidP="00DF4684">
      <w:pPr>
        <w:spacing w:after="120" w:line="360" w:lineRule="auto"/>
        <w:jc w:val="both"/>
        <w:rPr>
          <w:iCs/>
          <w:sz w:val="22"/>
        </w:rPr>
      </w:pPr>
      <w:r w:rsidRPr="005918D5">
        <w:rPr>
          <w:iCs/>
          <w:sz w:val="22"/>
        </w:rPr>
        <w:t>It is also at the discretion of the national legislative procedures to exempt companies from the cost of penalties and remedy</w:t>
      </w:r>
      <w:r w:rsidR="00944027" w:rsidRPr="005918D5">
        <w:rPr>
          <w:iCs/>
          <w:sz w:val="22"/>
        </w:rPr>
        <w:t xml:space="preserve"> to</w:t>
      </w:r>
      <w:r w:rsidRPr="005918D5">
        <w:rPr>
          <w:iCs/>
          <w:sz w:val="22"/>
        </w:rPr>
        <w:t xml:space="preserve"> the damage that has occurred during normal and approved operations. For this exemption to take place, the company must prove that both the damage has not occurred through </w:t>
      </w:r>
      <w:r w:rsidR="00B31F0A" w:rsidRPr="005918D5">
        <w:rPr>
          <w:iCs/>
          <w:sz w:val="22"/>
        </w:rPr>
        <w:t xml:space="preserve">a </w:t>
      </w:r>
      <w:r w:rsidRPr="005918D5">
        <w:rPr>
          <w:iCs/>
          <w:sz w:val="22"/>
        </w:rPr>
        <w:t>fault of their own and that there was no previous technical and scientific knowledge that could have foreseen such negative outcomes.</w:t>
      </w:r>
    </w:p>
    <w:p w14:paraId="52B6143E" w14:textId="313C3DFB" w:rsidR="00D60551" w:rsidRPr="005918D5" w:rsidRDefault="00D60551" w:rsidP="00DF4684">
      <w:pPr>
        <w:spacing w:after="120" w:line="360" w:lineRule="auto"/>
        <w:jc w:val="both"/>
        <w:rPr>
          <w:sz w:val="22"/>
        </w:rPr>
      </w:pPr>
      <w:r w:rsidRPr="005918D5">
        <w:rPr>
          <w:sz w:val="22"/>
        </w:rPr>
        <w:t>At present, the directive does not require any mandatory private insurance coverage</w:t>
      </w:r>
      <w:r w:rsidR="00ED3A5B" w:rsidRPr="005918D5">
        <w:rPr>
          <w:sz w:val="22"/>
        </w:rPr>
        <w:t>.</w:t>
      </w:r>
      <w:r w:rsidR="00524193" w:rsidRPr="005918D5">
        <w:rPr>
          <w:sz w:val="22"/>
        </w:rPr>
        <w:t xml:space="preserve"> </w:t>
      </w:r>
      <w:r w:rsidR="00B31F0A" w:rsidRPr="005918D5">
        <w:rPr>
          <w:sz w:val="22"/>
        </w:rPr>
        <w:t>Yet</w:t>
      </w:r>
      <w:r w:rsidRPr="005918D5">
        <w:rPr>
          <w:sz w:val="22"/>
        </w:rPr>
        <w:t>, all the EU member states have translated this directive into national law at various paces s</w:t>
      </w:r>
      <w:r w:rsidR="00040236" w:rsidRPr="005918D5">
        <w:rPr>
          <w:sz w:val="22"/>
        </w:rPr>
        <w:t>ince</w:t>
      </w:r>
      <w:r w:rsidRPr="005918D5">
        <w:rPr>
          <w:sz w:val="22"/>
        </w:rPr>
        <w:t xml:space="preserve"> 2007. In 2010 the European Commission provided a report (COM.2010 #581) to the European Council and European Parliament on the general adequacy and availability of environmental insurance products. The commission report recommended that it is up to the member states to introduce a mandatory financial security system, including mandatory requirements for environmental insurance coverage. However, the EU member states were requested to encourage the development of financial security practices, instruments</w:t>
      </w:r>
      <w:r w:rsidR="00040236" w:rsidRPr="005918D5">
        <w:rPr>
          <w:sz w:val="22"/>
        </w:rPr>
        <w:t>,</w:t>
      </w:r>
      <w:r w:rsidRPr="005918D5">
        <w:rPr>
          <w:sz w:val="22"/>
        </w:rPr>
        <w:t xml:space="preserve"> and markets. By and large, national governments limit their ‘encouragement’ of building up insurance markets to periodical consultations with trade organizations and large insurance firms. The insurance firms have been the principal driving force in the development of environmental liability markets, even in conditions where national governments legislate mandatory financial security systems. </w:t>
      </w:r>
    </w:p>
    <w:p w14:paraId="049F31CB" w14:textId="30D63AF2" w:rsidR="00E43723" w:rsidRPr="005918D5" w:rsidRDefault="00040236" w:rsidP="00DF4684">
      <w:pPr>
        <w:spacing w:after="120" w:line="360" w:lineRule="auto"/>
        <w:jc w:val="both"/>
        <w:rPr>
          <w:sz w:val="22"/>
        </w:rPr>
      </w:pPr>
      <w:r w:rsidRPr="005918D5">
        <w:rPr>
          <w:sz w:val="22"/>
        </w:rPr>
        <w:t>The i</w:t>
      </w:r>
      <w:r w:rsidR="00D60551" w:rsidRPr="005918D5">
        <w:rPr>
          <w:sz w:val="22"/>
        </w:rPr>
        <w:t>mplementation continue</w:t>
      </w:r>
      <w:r w:rsidRPr="005918D5">
        <w:rPr>
          <w:sz w:val="22"/>
        </w:rPr>
        <w:t>s</w:t>
      </w:r>
      <w:r w:rsidR="00D60551" w:rsidRPr="005918D5">
        <w:rPr>
          <w:sz w:val="22"/>
        </w:rPr>
        <w:t xml:space="preserve"> to</w:t>
      </w:r>
      <w:r w:rsidRPr="005918D5">
        <w:rPr>
          <w:sz w:val="22"/>
        </w:rPr>
        <w:t xml:space="preserve"> be refined and to</w:t>
      </w:r>
      <w:r w:rsidR="00D60551" w:rsidRPr="005918D5">
        <w:rPr>
          <w:sz w:val="22"/>
        </w:rPr>
        <w:t xml:space="preserve"> evolve</w:t>
      </w:r>
      <w:r w:rsidRPr="005918D5">
        <w:rPr>
          <w:sz w:val="22"/>
        </w:rPr>
        <w:t>,</w:t>
      </w:r>
      <w:r w:rsidR="00D60551" w:rsidRPr="005918D5">
        <w:rPr>
          <w:sz w:val="22"/>
        </w:rPr>
        <w:t xml:space="preserve"> which can be seen in the </w:t>
      </w:r>
      <w:r w:rsidRPr="005918D5">
        <w:rPr>
          <w:sz w:val="22"/>
        </w:rPr>
        <w:t xml:space="preserve">recent </w:t>
      </w:r>
      <w:r w:rsidR="00D60551" w:rsidRPr="005918D5">
        <w:rPr>
          <w:sz w:val="22"/>
        </w:rPr>
        <w:t>development of the Multi-Annual Work Programme (2017 - 2020) – “Making the Environmental Liability Directive more fit for purpose”. The Commission encourages and requests (1) the improvement in tools and measures, which describe the technical evidence base of cases subject to the ELD</w:t>
      </w:r>
      <w:r w:rsidRPr="005918D5">
        <w:rPr>
          <w:sz w:val="22"/>
        </w:rPr>
        <w:t>;</w:t>
      </w:r>
      <w:r w:rsidR="00D60551" w:rsidRPr="005918D5">
        <w:rPr>
          <w:sz w:val="22"/>
        </w:rPr>
        <w:t xml:space="preserve"> (2) </w:t>
      </w:r>
      <w:r w:rsidRPr="005918D5">
        <w:rPr>
          <w:sz w:val="22"/>
        </w:rPr>
        <w:t>t</w:t>
      </w:r>
      <w:r w:rsidR="00D60551" w:rsidRPr="005918D5">
        <w:rPr>
          <w:sz w:val="22"/>
        </w:rPr>
        <w:t xml:space="preserve">he actual implementation of cases to be vigorously supported by further synchronization of understanding, terms and concepts among </w:t>
      </w:r>
      <w:r w:rsidR="00524193" w:rsidRPr="005918D5">
        <w:rPr>
          <w:sz w:val="22"/>
        </w:rPr>
        <w:t xml:space="preserve">the </w:t>
      </w:r>
      <w:r w:rsidR="00D60551" w:rsidRPr="005918D5">
        <w:rPr>
          <w:sz w:val="22"/>
        </w:rPr>
        <w:t>commission and member states civil servants, national, and local elective bodies and practitioners by enhanced capacity building and training</w:t>
      </w:r>
      <w:r w:rsidRPr="005918D5">
        <w:rPr>
          <w:sz w:val="22"/>
        </w:rPr>
        <w:t>;</w:t>
      </w:r>
      <w:r w:rsidR="00D60551" w:rsidRPr="005918D5">
        <w:rPr>
          <w:sz w:val="22"/>
        </w:rPr>
        <w:t xml:space="preserve"> (3) the availability of financial security and remediation to insolvency needs to be ensured</w:t>
      </w:r>
      <w:r w:rsidRPr="005918D5">
        <w:rPr>
          <w:sz w:val="22"/>
        </w:rPr>
        <w:t xml:space="preserve"> for an actual remediation to take place,</w:t>
      </w:r>
      <w:r w:rsidR="00D60551" w:rsidRPr="005918D5">
        <w:rPr>
          <w:sz w:val="22"/>
        </w:rPr>
        <w:t xml:space="preserve">. </w:t>
      </w:r>
    </w:p>
    <w:p w14:paraId="5811071A" w14:textId="77777777" w:rsidR="00CB5DA9" w:rsidRPr="005918D5" w:rsidRDefault="00C57DB8" w:rsidP="00DF4684">
      <w:pPr>
        <w:spacing w:after="120" w:line="360" w:lineRule="auto"/>
        <w:jc w:val="both"/>
        <w:rPr>
          <w:szCs w:val="28"/>
        </w:rPr>
      </w:pPr>
      <w:r w:rsidRPr="005918D5">
        <w:rPr>
          <w:szCs w:val="28"/>
        </w:rPr>
        <w:t xml:space="preserve">2.0 </w:t>
      </w:r>
      <w:r w:rsidR="00126C71" w:rsidRPr="005918D5">
        <w:rPr>
          <w:szCs w:val="28"/>
        </w:rPr>
        <w:t>Market Mechanics</w:t>
      </w:r>
    </w:p>
    <w:p w14:paraId="1CBADDBC" w14:textId="64F3F38A" w:rsidR="00273497" w:rsidRPr="005918D5" w:rsidRDefault="000A6D2C" w:rsidP="00DF4684">
      <w:pPr>
        <w:spacing w:after="120" w:line="360" w:lineRule="auto"/>
        <w:jc w:val="both"/>
        <w:rPr>
          <w:sz w:val="22"/>
        </w:rPr>
      </w:pPr>
      <w:r w:rsidRPr="005918D5">
        <w:rPr>
          <w:sz w:val="22"/>
        </w:rPr>
        <w:t>Commercial enterprises operating in</w:t>
      </w:r>
      <w:r w:rsidR="004C1261" w:rsidRPr="005918D5">
        <w:rPr>
          <w:sz w:val="22"/>
        </w:rPr>
        <w:t xml:space="preserve"> the marine system </w:t>
      </w:r>
      <w:r w:rsidRPr="005918D5">
        <w:rPr>
          <w:sz w:val="22"/>
        </w:rPr>
        <w:t xml:space="preserve">are becoming more receptive and willing </w:t>
      </w:r>
      <w:r w:rsidR="004C1261" w:rsidRPr="005918D5">
        <w:rPr>
          <w:sz w:val="22"/>
        </w:rPr>
        <w:t xml:space="preserve">to carry insurance against both </w:t>
      </w:r>
      <w:r w:rsidR="004C1261" w:rsidRPr="005918D5">
        <w:rPr>
          <w:iCs/>
          <w:sz w:val="22"/>
        </w:rPr>
        <w:t>regulatory risk</w:t>
      </w:r>
      <w:r w:rsidR="004C1261" w:rsidRPr="005918D5">
        <w:rPr>
          <w:sz w:val="22"/>
        </w:rPr>
        <w:t xml:space="preserve"> and </w:t>
      </w:r>
      <w:r w:rsidR="004C1261" w:rsidRPr="005918D5">
        <w:rPr>
          <w:iCs/>
          <w:sz w:val="22"/>
        </w:rPr>
        <w:t>infraction risk</w:t>
      </w:r>
      <w:r w:rsidRPr="005918D5">
        <w:rPr>
          <w:sz w:val="22"/>
        </w:rPr>
        <w:t>.</w:t>
      </w:r>
      <w:r w:rsidR="00421270" w:rsidRPr="005918D5">
        <w:rPr>
          <w:sz w:val="22"/>
        </w:rPr>
        <w:t xml:space="preserve"> </w:t>
      </w:r>
      <w:r w:rsidRPr="005918D5">
        <w:rPr>
          <w:sz w:val="22"/>
        </w:rPr>
        <w:t>T</w:t>
      </w:r>
      <w:r w:rsidR="004C1261" w:rsidRPr="005918D5">
        <w:rPr>
          <w:sz w:val="22"/>
        </w:rPr>
        <w:t>hey may wish to have an improved definition</w:t>
      </w:r>
      <w:r w:rsidR="0008088C" w:rsidRPr="005918D5">
        <w:rPr>
          <w:sz w:val="22"/>
        </w:rPr>
        <w:t xml:space="preserve"> and more granular and explicit quantitative metrics of </w:t>
      </w:r>
      <w:r w:rsidR="00D4608D" w:rsidRPr="005918D5">
        <w:rPr>
          <w:sz w:val="22"/>
        </w:rPr>
        <w:t>near- and long-term</w:t>
      </w:r>
      <w:r w:rsidR="004C1261" w:rsidRPr="005918D5">
        <w:rPr>
          <w:sz w:val="22"/>
        </w:rPr>
        <w:t xml:space="preserve"> financial risks associated with compliance with environmental protection legislation. </w:t>
      </w:r>
    </w:p>
    <w:p w14:paraId="0A0A835F" w14:textId="06649954" w:rsidR="008B3A9A" w:rsidRPr="005918D5" w:rsidRDefault="008B3A9A" w:rsidP="00DF4684">
      <w:pPr>
        <w:spacing w:after="120" w:line="360" w:lineRule="auto"/>
        <w:jc w:val="both"/>
        <w:rPr>
          <w:sz w:val="22"/>
        </w:rPr>
      </w:pPr>
      <w:r w:rsidRPr="005918D5">
        <w:rPr>
          <w:sz w:val="22"/>
        </w:rPr>
        <w:lastRenderedPageBreak/>
        <w:t>Both</w:t>
      </w:r>
      <w:r w:rsidR="004C1261" w:rsidRPr="005918D5">
        <w:rPr>
          <w:sz w:val="22"/>
        </w:rPr>
        <w:t xml:space="preserve"> </w:t>
      </w:r>
      <w:r w:rsidRPr="005918D5">
        <w:rPr>
          <w:sz w:val="22"/>
        </w:rPr>
        <w:t>regulatory</w:t>
      </w:r>
      <w:r w:rsidR="004C1261" w:rsidRPr="005918D5">
        <w:rPr>
          <w:sz w:val="22"/>
        </w:rPr>
        <w:t xml:space="preserve"> </w:t>
      </w:r>
      <w:r w:rsidRPr="005918D5">
        <w:rPr>
          <w:sz w:val="22"/>
        </w:rPr>
        <w:t>and</w:t>
      </w:r>
      <w:r w:rsidR="004C1261" w:rsidRPr="005918D5">
        <w:rPr>
          <w:sz w:val="22"/>
        </w:rPr>
        <w:t xml:space="preserve"> </w:t>
      </w:r>
      <w:r w:rsidRPr="005918D5">
        <w:rPr>
          <w:sz w:val="22"/>
        </w:rPr>
        <w:t>infraction</w:t>
      </w:r>
      <w:r w:rsidR="004C1261" w:rsidRPr="005918D5">
        <w:rPr>
          <w:iCs/>
          <w:sz w:val="22"/>
        </w:rPr>
        <w:t xml:space="preserve"> </w:t>
      </w:r>
      <w:r w:rsidR="004C1261" w:rsidRPr="005918D5">
        <w:rPr>
          <w:sz w:val="22"/>
        </w:rPr>
        <w:t>risk</w:t>
      </w:r>
      <w:r w:rsidR="00524193" w:rsidRPr="005918D5">
        <w:rPr>
          <w:sz w:val="22"/>
        </w:rPr>
        <w:t>s</w:t>
      </w:r>
      <w:r w:rsidR="004C1261" w:rsidRPr="005918D5">
        <w:rPr>
          <w:iCs/>
          <w:sz w:val="22"/>
        </w:rPr>
        <w:t xml:space="preserve"> </w:t>
      </w:r>
      <w:r w:rsidRPr="005918D5">
        <w:rPr>
          <w:sz w:val="22"/>
        </w:rPr>
        <w:t>are associated with the risk of damaging the environment, but both have, in effect, the same type of financial consequences associated with acute environmental events, including chronic environmental exposures. These risks may be revealed through new knowledge of the effects, technological developments in measurement, or through the gradual ramp-up of statistical and computational power to detect patterns. It is becoming possible to model such risks and to develop appropriate theoretical underpinning for assessing and quantifying their impacts with increasingly reliable metrics. Such metrics immediately raise the quality of advice about the financial viability of proposed developments in the marine system and additionally provide the basis for a market that can insure commercial enterprises against this form of low-grade</w:t>
      </w:r>
      <w:r w:rsidR="009C76E2" w:rsidRPr="005918D5">
        <w:rPr>
          <w:sz w:val="22"/>
        </w:rPr>
        <w:t>,</w:t>
      </w:r>
      <w:r w:rsidRPr="005918D5">
        <w:rPr>
          <w:sz w:val="22"/>
        </w:rPr>
        <w:t xml:space="preserve"> high-frequency risk as well as more rare, low-frequency catastrophic risk.</w:t>
      </w:r>
    </w:p>
    <w:p w14:paraId="503A4506" w14:textId="22E20233" w:rsidR="008B3A9A" w:rsidRPr="005918D5" w:rsidRDefault="009C76E2" w:rsidP="00DF4684">
      <w:pPr>
        <w:spacing w:after="120" w:line="360" w:lineRule="auto"/>
        <w:jc w:val="both"/>
        <w:rPr>
          <w:sz w:val="22"/>
        </w:rPr>
      </w:pPr>
      <w:r w:rsidRPr="005918D5">
        <w:rPr>
          <w:sz w:val="22"/>
        </w:rPr>
        <w:t>F</w:t>
      </w:r>
      <w:r w:rsidR="008B3A9A" w:rsidRPr="005918D5">
        <w:rPr>
          <w:sz w:val="22"/>
        </w:rPr>
        <w:t>or operators of hazardous industrial and energy facilities and processes, the issue of cost due to environmental damage becomes central to their basic view on the viability and profitability of the business proposition. The costs associated with such industrial and energy operations without environmental insurance coverage have been discussed above. At the same time, such coverage</w:t>
      </w:r>
      <w:r w:rsidRPr="005918D5">
        <w:rPr>
          <w:sz w:val="22"/>
        </w:rPr>
        <w:t>,</w:t>
      </w:r>
      <w:r w:rsidR="008B3A9A" w:rsidRPr="005918D5">
        <w:rPr>
          <w:sz w:val="22"/>
        </w:rPr>
        <w:t xml:space="preserve"> when purchased</w:t>
      </w:r>
      <w:r w:rsidRPr="005918D5">
        <w:rPr>
          <w:sz w:val="22"/>
        </w:rPr>
        <w:t>,</w:t>
      </w:r>
      <w:r w:rsidR="008B3A9A" w:rsidRPr="005918D5">
        <w:rPr>
          <w:sz w:val="22"/>
        </w:rPr>
        <w:t xml:space="preserve"> carries the cost of its premiums, operational expenses along with the risks of its adequacy, the default of the insurance provider and legal operations, all of which are well understood by commercial operators. </w:t>
      </w:r>
    </w:p>
    <w:p w14:paraId="6676CDCB" w14:textId="77777777" w:rsidR="008B3A9A" w:rsidRPr="005918D5" w:rsidRDefault="008B3A9A" w:rsidP="00DF4684">
      <w:pPr>
        <w:spacing w:after="120" w:line="360" w:lineRule="auto"/>
        <w:jc w:val="both"/>
        <w:rPr>
          <w:sz w:val="22"/>
        </w:rPr>
      </w:pPr>
    </w:p>
    <w:p w14:paraId="53128261" w14:textId="2E62CFB2" w:rsidR="00C57DB8" w:rsidRPr="005918D5" w:rsidRDefault="008B3A9A" w:rsidP="00DF4684">
      <w:pPr>
        <w:spacing w:after="120" w:line="360" w:lineRule="auto"/>
        <w:jc w:val="both"/>
      </w:pPr>
      <w:r w:rsidRPr="005918D5">
        <w:rPr>
          <w:sz w:val="22"/>
        </w:rPr>
        <w:t>Quantifying the cost/risk schemes and trade-offs of the above framework becomes a necessary task for operators both currently engaged in such situations and planning to expand or enter new opportunities in the physical marine offshore and coastal systems. While a lot of legal, operational, and policy level research has been done in this field, less has been accomplished in developing statistical and numerical risk methodologies to quantify the probability of damage and cost/risk trade-offs and likely scenarios in terms of financial and insurance risks to operators. Practice shows that estimating quantitative risk and probability-based scenarios is a difficult task for central and local regulators. For example, the environmental liability cost of the Chemie Pack BV accident in Holland in 2011 was 65 million euros, with an evident gap to a mandatory model</w:t>
      </w:r>
      <w:r w:rsidR="009C76E2" w:rsidRPr="005918D5">
        <w:rPr>
          <w:sz w:val="22"/>
        </w:rPr>
        <w:t>,</w:t>
      </w:r>
      <w:r w:rsidRPr="005918D5">
        <w:rPr>
          <w:sz w:val="22"/>
        </w:rPr>
        <w:t xml:space="preserve"> i.e.</w:t>
      </w:r>
      <w:r w:rsidR="009C76E2" w:rsidRPr="005918D5">
        <w:rPr>
          <w:sz w:val="22"/>
        </w:rPr>
        <w:t>,</w:t>
      </w:r>
      <w:r w:rsidRPr="005918D5">
        <w:rPr>
          <w:sz w:val="22"/>
        </w:rPr>
        <w:t xml:space="preserve"> the maximum environmental security instrument under the mandatory Spanish model is 20 million euros. </w:t>
      </w:r>
    </w:p>
    <w:p w14:paraId="7CABBD8C" w14:textId="77777777" w:rsidR="007D7ACF" w:rsidRPr="005918D5" w:rsidRDefault="00C57DB8" w:rsidP="00DF4684">
      <w:pPr>
        <w:spacing w:after="120" w:line="360" w:lineRule="auto"/>
        <w:jc w:val="both"/>
        <w:rPr>
          <w:szCs w:val="28"/>
        </w:rPr>
      </w:pPr>
      <w:r w:rsidRPr="005918D5">
        <w:rPr>
          <w:szCs w:val="28"/>
        </w:rPr>
        <w:t xml:space="preserve">3.0 </w:t>
      </w:r>
      <w:r w:rsidR="00ED3A5B" w:rsidRPr="005918D5">
        <w:rPr>
          <w:szCs w:val="28"/>
        </w:rPr>
        <w:t>Classification</w:t>
      </w:r>
      <w:r w:rsidR="007D7ACF" w:rsidRPr="005918D5">
        <w:rPr>
          <w:szCs w:val="28"/>
        </w:rPr>
        <w:t xml:space="preserve"> of E</w:t>
      </w:r>
      <w:r w:rsidR="002A0889" w:rsidRPr="005918D5">
        <w:rPr>
          <w:szCs w:val="28"/>
        </w:rPr>
        <w:t>nvironmentally Hazardous Activities and D</w:t>
      </w:r>
      <w:r w:rsidR="00ED3A5B" w:rsidRPr="005918D5">
        <w:rPr>
          <w:szCs w:val="28"/>
        </w:rPr>
        <w:t>amage</w:t>
      </w:r>
    </w:p>
    <w:p w14:paraId="1C05D154" w14:textId="3BF7F1C7" w:rsidR="0087187F" w:rsidRPr="005918D5" w:rsidRDefault="008B3A9A" w:rsidP="00DF4684">
      <w:pPr>
        <w:spacing w:after="120" w:line="360" w:lineRule="auto"/>
        <w:jc w:val="both"/>
      </w:pPr>
      <w:r w:rsidRPr="005918D5">
        <w:rPr>
          <w:sz w:val="22"/>
        </w:rPr>
        <w:t>For a quantitative risk methodology and metrics to be consistent and accepted on the market, it is necessary to define environmental</w:t>
      </w:r>
      <w:r w:rsidR="009A22D8">
        <w:rPr>
          <w:sz w:val="22"/>
        </w:rPr>
        <w:t xml:space="preserve"> activity-to-damage</w:t>
      </w:r>
      <w:r w:rsidRPr="005918D5">
        <w:rPr>
          <w:sz w:val="22"/>
        </w:rPr>
        <w:t xml:space="preserve"> liability </w:t>
      </w:r>
      <w:r w:rsidR="009A22D8">
        <w:rPr>
          <w:sz w:val="22"/>
        </w:rPr>
        <w:t xml:space="preserve">relations </w:t>
      </w:r>
      <w:r w:rsidRPr="005918D5">
        <w:rPr>
          <w:sz w:val="22"/>
        </w:rPr>
        <w:t>(</w:t>
      </w:r>
      <w:r w:rsidRPr="005918D5">
        <w:rPr>
          <w:rStyle w:val="Emphasis"/>
          <w:i w:val="0"/>
          <w:sz w:val="22"/>
        </w:rPr>
        <w:t xml:space="preserve">see Figure </w:t>
      </w:r>
      <w:r w:rsidR="00DF4684" w:rsidRPr="005918D5">
        <w:rPr>
          <w:rStyle w:val="Emphasis"/>
          <w:i w:val="0"/>
          <w:sz w:val="22"/>
        </w:rPr>
        <w:t>8.</w:t>
      </w:r>
      <w:r w:rsidRPr="005918D5">
        <w:rPr>
          <w:rStyle w:val="Emphasis"/>
          <w:i w:val="0"/>
          <w:sz w:val="22"/>
        </w:rPr>
        <w:t>2</w:t>
      </w:r>
      <w:r w:rsidRPr="005918D5">
        <w:rPr>
          <w:sz w:val="22"/>
        </w:rPr>
        <w:t xml:space="preserve">) in specific terms. One possible approach is to follow the definition of the EU Commission White Paper on Environmental Liability (February 09, 2000), where it is defined as damage resulting </w:t>
      </w:r>
      <w:r w:rsidRPr="005918D5">
        <w:rPr>
          <w:sz w:val="22"/>
        </w:rPr>
        <w:lastRenderedPageBreak/>
        <w:t xml:space="preserve">from industrial accidents and </w:t>
      </w:r>
      <w:r w:rsidR="007D7ACF" w:rsidRPr="005918D5">
        <w:rPr>
          <w:sz w:val="22"/>
        </w:rPr>
        <w:t xml:space="preserve">from </w:t>
      </w:r>
      <w:r w:rsidRPr="005918D5">
        <w:rPr>
          <w:sz w:val="22"/>
        </w:rPr>
        <w:t>gradual pollution and deterioration by hazardous substances, waste</w:t>
      </w:r>
      <w:r w:rsidR="009C76E2" w:rsidRPr="005918D5">
        <w:rPr>
          <w:sz w:val="22"/>
        </w:rPr>
        <w:t>,</w:t>
      </w:r>
      <w:r w:rsidRPr="005918D5">
        <w:rPr>
          <w:sz w:val="22"/>
        </w:rPr>
        <w:t xml:space="preserve"> or operations from strictly identifiable sources. </w:t>
      </w:r>
    </w:p>
    <w:p w14:paraId="50078414" w14:textId="77777777" w:rsidR="00DF4684" w:rsidRPr="005918D5" w:rsidRDefault="00DF4684" w:rsidP="00DF4684">
      <w:pPr>
        <w:spacing w:after="120" w:line="360" w:lineRule="auto"/>
        <w:jc w:val="both"/>
        <w:rPr>
          <w:i/>
          <w:sz w:val="22"/>
        </w:rPr>
      </w:pPr>
    </w:p>
    <w:p w14:paraId="27B004E2" w14:textId="63D2CF21" w:rsidR="007951D2" w:rsidRPr="005918D5" w:rsidRDefault="007D7ACF" w:rsidP="00DF4684">
      <w:pPr>
        <w:spacing w:after="120" w:line="360" w:lineRule="auto"/>
        <w:jc w:val="both"/>
        <w:rPr>
          <w:iCs/>
          <w:sz w:val="22"/>
        </w:rPr>
      </w:pPr>
      <w:r w:rsidRPr="005918D5">
        <w:rPr>
          <w:sz w:val="22"/>
        </w:rPr>
        <w:t xml:space="preserve">Figure </w:t>
      </w:r>
      <w:r w:rsidR="00DF4684" w:rsidRPr="005918D5">
        <w:rPr>
          <w:sz w:val="22"/>
        </w:rPr>
        <w:t>8.</w:t>
      </w:r>
      <w:r w:rsidRPr="005918D5">
        <w:rPr>
          <w:sz w:val="22"/>
        </w:rPr>
        <w:t>2</w:t>
      </w:r>
      <w:r w:rsidR="00ED3A5B" w:rsidRPr="005918D5">
        <w:rPr>
          <w:sz w:val="22"/>
        </w:rPr>
        <w:t xml:space="preserve">: </w:t>
      </w:r>
      <w:r w:rsidR="001E4009" w:rsidRPr="005918D5">
        <w:rPr>
          <w:sz w:val="22"/>
        </w:rPr>
        <w:t>Activity-</w:t>
      </w:r>
      <w:r w:rsidR="00447BE2" w:rsidRPr="005918D5">
        <w:rPr>
          <w:sz w:val="22"/>
        </w:rPr>
        <w:t>to</w:t>
      </w:r>
      <w:r w:rsidR="001E4009" w:rsidRPr="005918D5">
        <w:rPr>
          <w:sz w:val="22"/>
        </w:rPr>
        <w:t>-D</w:t>
      </w:r>
      <w:r w:rsidR="00447BE2" w:rsidRPr="005918D5">
        <w:rPr>
          <w:sz w:val="22"/>
        </w:rPr>
        <w:t xml:space="preserve">amage Liability relations: </w:t>
      </w:r>
      <w:r w:rsidR="001E4009" w:rsidRPr="005918D5">
        <w:rPr>
          <w:sz w:val="22"/>
        </w:rPr>
        <w:t xml:space="preserve">EU </w:t>
      </w:r>
      <w:r w:rsidR="00DF4684" w:rsidRPr="005918D5">
        <w:rPr>
          <w:sz w:val="22"/>
        </w:rPr>
        <w:t>Commission</w:t>
      </w:r>
      <w:r w:rsidR="001E4009" w:rsidRPr="005918D5">
        <w:rPr>
          <w:sz w:val="22"/>
        </w:rPr>
        <w:t xml:space="preserve"> </w:t>
      </w:r>
      <w:r w:rsidR="001E4009" w:rsidRPr="005918D5">
        <w:rPr>
          <w:iCs/>
          <w:sz w:val="22"/>
        </w:rPr>
        <w:t>White Paper on Environmental L</w:t>
      </w:r>
      <w:r w:rsidR="00ED3A5B" w:rsidRPr="005918D5">
        <w:rPr>
          <w:iCs/>
          <w:sz w:val="22"/>
        </w:rPr>
        <w:t>iability</w:t>
      </w:r>
      <w:r w:rsidR="001E4009" w:rsidRPr="005918D5">
        <w:rPr>
          <w:iCs/>
          <w:sz w:val="22"/>
        </w:rPr>
        <w:t xml:space="preserve"> (02.09.2000)</w:t>
      </w:r>
    </w:p>
    <w:p w14:paraId="4101652C" w14:textId="0B8A9B72" w:rsidR="00D544AD" w:rsidRPr="005918D5" w:rsidRDefault="00DF4684" w:rsidP="00DF4684">
      <w:pPr>
        <w:spacing w:after="120" w:line="360" w:lineRule="auto"/>
        <w:jc w:val="both"/>
        <w:rPr>
          <w:i/>
          <w:iCs/>
          <w:sz w:val="22"/>
        </w:rPr>
      </w:pPr>
      <w:r w:rsidRPr="005918D5">
        <w:rPr>
          <w:noProof/>
          <w:sz w:val="22"/>
          <w:lang w:val="en-CA" w:eastAsia="en-CA"/>
        </w:rPr>
        <mc:AlternateContent>
          <mc:Choice Requires="wpg">
            <w:drawing>
              <wp:anchor distT="0" distB="0" distL="114300" distR="114300" simplePos="0" relativeHeight="251663360" behindDoc="0" locked="0" layoutInCell="1" allowOverlap="1" wp14:anchorId="62D57E75" wp14:editId="1674DD75">
                <wp:simplePos x="0" y="0"/>
                <wp:positionH relativeFrom="margin">
                  <wp:posOffset>114300</wp:posOffset>
                </wp:positionH>
                <wp:positionV relativeFrom="paragraph">
                  <wp:posOffset>146685</wp:posOffset>
                </wp:positionV>
                <wp:extent cx="5524500" cy="3657600"/>
                <wp:effectExtent l="0" t="0" r="19050" b="19050"/>
                <wp:wrapNone/>
                <wp:docPr id="26" name="Group 42"/>
                <wp:cNvGraphicFramePr/>
                <a:graphic xmlns:a="http://schemas.openxmlformats.org/drawingml/2006/main">
                  <a:graphicData uri="http://schemas.microsoft.com/office/word/2010/wordprocessingGroup">
                    <wpg:wgp>
                      <wpg:cNvGrpSpPr/>
                      <wpg:grpSpPr>
                        <a:xfrm>
                          <a:off x="0" y="0"/>
                          <a:ext cx="5524500" cy="3657600"/>
                          <a:chOff x="-22436" y="-79820"/>
                          <a:chExt cx="7335399" cy="3602354"/>
                        </a:xfrm>
                      </wpg:grpSpPr>
                      <wpg:grpSp>
                        <wpg:cNvPr id="27" name="Group 27"/>
                        <wpg:cNvGrpSpPr/>
                        <wpg:grpSpPr>
                          <a:xfrm>
                            <a:off x="-22436" y="-79820"/>
                            <a:ext cx="7335399" cy="3602354"/>
                            <a:chOff x="-22436" y="-79820"/>
                            <a:chExt cx="7335399" cy="3602354"/>
                          </a:xfrm>
                        </wpg:grpSpPr>
                        <wps:wsp>
                          <wps:cNvPr id="28" name="Rounded Rectangle 7"/>
                          <wps:cNvSpPr/>
                          <wps:spPr>
                            <a:xfrm>
                              <a:off x="4885365" y="2522385"/>
                              <a:ext cx="2427550" cy="1000149"/>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14:paraId="6E48409B" w14:textId="77777777" w:rsidR="00D90F37" w:rsidRPr="0087187F" w:rsidRDefault="00D90F37" w:rsidP="00277CBD">
                                <w:pPr>
                                  <w:pStyle w:val="NormalWeb"/>
                                  <w:spacing w:before="0" w:beforeAutospacing="0" w:after="101" w:afterAutospacing="0" w:line="216" w:lineRule="auto"/>
                                  <w:jc w:val="center"/>
                                </w:pPr>
                                <w:r w:rsidRPr="00FF727E">
                                  <w:rPr>
                                    <w:bCs/>
                                    <w:color w:val="FFFFFF" w:themeColor="light1"/>
                                    <w:kern w:val="24"/>
                                  </w:rPr>
                                  <w:t>Damage to Biodiversity</w:t>
                                </w:r>
                              </w:p>
                              <w:p w14:paraId="64E36FB8" w14:textId="77777777" w:rsidR="00D90F37" w:rsidRPr="0087187F" w:rsidRDefault="00D90F37" w:rsidP="00277CBD">
                                <w:pPr>
                                  <w:pStyle w:val="NormalWeb"/>
                                  <w:spacing w:before="0" w:beforeAutospacing="0" w:after="101" w:afterAutospacing="0" w:line="216" w:lineRule="auto"/>
                                  <w:jc w:val="center"/>
                                </w:pPr>
                                <w:r w:rsidRPr="00FF727E">
                                  <w:rPr>
                                    <w:bCs/>
                                    <w:color w:val="FFFFFF" w:themeColor="light1"/>
                                    <w:kern w:val="24"/>
                                  </w:rPr>
                                  <w:t>(EU protected natural resources in Natura 2000 Areas)</w:t>
                                </w:r>
                              </w:p>
                              <w:p w14:paraId="0441D7F7" w14:textId="77777777" w:rsidR="00D90F37" w:rsidRDefault="00D90F37" w:rsidP="00277CBD">
                                <w:pPr>
                                  <w:jc w:val="center"/>
                                </w:pPr>
                              </w:p>
                            </w:txbxContent>
                          </wps:txbx>
                          <wps:bodyPr/>
                        </wps:wsp>
                        <wps:wsp>
                          <wps:cNvPr id="29" name="Rounded Rectangle 10"/>
                          <wps:cNvSpPr/>
                          <wps:spPr>
                            <a:xfrm>
                              <a:off x="4879314" y="1543861"/>
                              <a:ext cx="1853767" cy="481199"/>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14:paraId="37A744DA" w14:textId="77777777" w:rsidR="00D90F37" w:rsidRPr="0087187F" w:rsidRDefault="00D90F37" w:rsidP="00277CBD">
                                <w:pPr>
                                  <w:pStyle w:val="NormalWeb"/>
                                  <w:spacing w:before="0" w:beforeAutospacing="0" w:after="101" w:afterAutospacing="0" w:line="216" w:lineRule="auto"/>
                                  <w:jc w:val="center"/>
                                </w:pPr>
                                <w:r w:rsidRPr="00FF727E">
                                  <w:rPr>
                                    <w:bCs/>
                                    <w:color w:val="FFFFFF" w:themeColor="light1"/>
                                    <w:kern w:val="24"/>
                                  </w:rPr>
                                  <w:t>Contaminated Sites</w:t>
                                </w:r>
                              </w:p>
                              <w:p w14:paraId="270933CB" w14:textId="77777777" w:rsidR="00D90F37" w:rsidRDefault="00D90F37" w:rsidP="00277CBD">
                                <w:pPr>
                                  <w:jc w:val="center"/>
                                </w:pPr>
                              </w:p>
                            </w:txbxContent>
                          </wps:txbx>
                          <wps:bodyPr/>
                        </wps:wsp>
                        <wps:wsp>
                          <wps:cNvPr id="30" name="Rounded Rectangle 13"/>
                          <wps:cNvSpPr/>
                          <wps:spPr>
                            <a:xfrm>
                              <a:off x="4950763" y="0"/>
                              <a:ext cx="2362200" cy="880759"/>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14:paraId="5EA40598" w14:textId="77777777" w:rsidR="00D90F37" w:rsidRPr="00176137" w:rsidRDefault="00D90F37" w:rsidP="00277CBD">
                                <w:pPr>
                                  <w:pStyle w:val="NormalWeb"/>
                                  <w:spacing w:before="0" w:beforeAutospacing="0" w:after="101" w:afterAutospacing="0" w:line="216" w:lineRule="auto"/>
                                  <w:jc w:val="center"/>
                                </w:pPr>
                                <w:r w:rsidRPr="00FF727E">
                                  <w:rPr>
                                    <w:bCs/>
                                    <w:color w:val="FFFFFF" w:themeColor="light1"/>
                                    <w:kern w:val="24"/>
                                  </w:rPr>
                                  <w:t>Traditional Damage</w:t>
                                </w:r>
                              </w:p>
                              <w:p w14:paraId="55777295" w14:textId="77777777" w:rsidR="00D90F37" w:rsidRPr="00176137" w:rsidRDefault="00D90F37" w:rsidP="00277CBD">
                                <w:pPr>
                                  <w:pStyle w:val="NormalWeb"/>
                                  <w:spacing w:before="0" w:beforeAutospacing="0" w:after="101" w:afterAutospacing="0" w:line="216" w:lineRule="auto"/>
                                  <w:jc w:val="center"/>
                                </w:pPr>
                                <w:r w:rsidRPr="00FF727E">
                                  <w:rPr>
                                    <w:bCs/>
                                    <w:color w:val="FFFFFF" w:themeColor="light1"/>
                                    <w:kern w:val="24"/>
                                  </w:rPr>
                                  <w:t>(Damage to Persons and Goods)</w:t>
                                </w:r>
                              </w:p>
                              <w:p w14:paraId="62739A37" w14:textId="77777777" w:rsidR="00D90F37" w:rsidRDefault="00D90F37" w:rsidP="00277CBD">
                                <w:pPr>
                                  <w:jc w:val="center"/>
                                </w:pPr>
                              </w:p>
                            </w:txbxContent>
                          </wps:txbx>
                          <wps:bodyPr/>
                        </wps:wsp>
                        <wps:wsp>
                          <wps:cNvPr id="31" name="Rounded Rectangle 16"/>
                          <wps:cNvSpPr/>
                          <wps:spPr>
                            <a:xfrm>
                              <a:off x="-22436" y="-79820"/>
                              <a:ext cx="2514600" cy="1030042"/>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14:paraId="20115F51" w14:textId="77777777" w:rsidR="00D90F37" w:rsidRPr="00176137" w:rsidRDefault="00D90F37" w:rsidP="00277CBD">
                                <w:pPr>
                                  <w:pStyle w:val="NormalWeb"/>
                                  <w:spacing w:before="0" w:beforeAutospacing="0" w:after="101" w:afterAutospacing="0" w:line="216" w:lineRule="auto"/>
                                  <w:jc w:val="center"/>
                                </w:pPr>
                                <w:r w:rsidRPr="00FF727E">
                                  <w:rPr>
                                    <w:bCs/>
                                    <w:color w:val="FFFFFF" w:themeColor="light1"/>
                                    <w:kern w:val="24"/>
                                  </w:rPr>
                                  <w:t>Dangerous and Potentially Dangerous Activities regulated by EU Environment-related Law</w:t>
                                </w:r>
                              </w:p>
                              <w:p w14:paraId="55825987" w14:textId="77777777" w:rsidR="00D90F37" w:rsidRDefault="00D90F37" w:rsidP="00277CBD">
                                <w:pPr>
                                  <w:jc w:val="center"/>
                                </w:pPr>
                              </w:p>
                            </w:txbxContent>
                          </wps:txbx>
                          <wps:bodyPr/>
                        </wps:wsp>
                        <wps:wsp>
                          <wps:cNvPr id="32" name="Rounded Rectangle 19"/>
                          <wps:cNvSpPr/>
                          <wps:spPr>
                            <a:xfrm>
                              <a:off x="10853" y="2806737"/>
                              <a:ext cx="2242814" cy="57222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wps:spPr>
                          <wps:txbx>
                            <w:txbxContent>
                              <w:p w14:paraId="24859CCB" w14:textId="77777777" w:rsidR="00D90F37" w:rsidRPr="00FF727E" w:rsidRDefault="00D90F37" w:rsidP="00277CBD">
                                <w:pPr>
                                  <w:jc w:val="center"/>
                                  <w:rPr>
                                    <w:color w:val="FFFFFF" w:themeColor="background1"/>
                                  </w:rPr>
                                </w:pPr>
                                <w:r w:rsidRPr="00FF727E">
                                  <w:rPr>
                                    <w:color w:val="FFFFFF" w:themeColor="background1"/>
                                  </w:rPr>
                                  <w:t>Non-Dangerous Activities</w:t>
                                </w:r>
                              </w:p>
                            </w:txbxContent>
                          </wps:txbx>
                          <wps:bodyPr/>
                        </wps:wsp>
                        <wps:wsp>
                          <wps:cNvPr id="33" name="Straight Arrow Connector 33"/>
                          <wps:cNvCnPr/>
                          <wps:spPr>
                            <a:xfrm>
                              <a:off x="2492164" y="435201"/>
                              <a:ext cx="2458598" cy="5179"/>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4" name="Straight Arrow Connector 34"/>
                          <wps:cNvCnPr/>
                          <wps:spPr>
                            <a:xfrm>
                              <a:off x="2492164" y="435201"/>
                              <a:ext cx="2387150" cy="125602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5" name="Straight Arrow Connector 35"/>
                          <wps:cNvCnPr/>
                          <wps:spPr>
                            <a:xfrm>
                              <a:off x="2492164" y="435201"/>
                              <a:ext cx="2393201" cy="2671689"/>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6" name="Straight Arrow Connector 36"/>
                          <wps:cNvCnPr/>
                          <wps:spPr>
                            <a:xfrm>
                              <a:off x="2253667" y="3092847"/>
                              <a:ext cx="2631697" cy="14043"/>
                            </a:xfrm>
                            <a:prstGeom prst="straightConnector1">
                              <a:avLst/>
                            </a:prstGeom>
                            <a:noFill/>
                            <a:ln w="9525" cap="flat" cmpd="sng" algn="ctr">
                              <a:solidFill>
                                <a:srgbClr val="4F81BD">
                                  <a:shade val="95000"/>
                                  <a:satMod val="105000"/>
                                </a:srgbClr>
                              </a:solidFill>
                              <a:prstDash val="solid"/>
                              <a:tailEnd type="arrow"/>
                            </a:ln>
                            <a:effectLst/>
                          </wps:spPr>
                          <wps:bodyPr/>
                        </wps:wsp>
                      </wpg:grpSp>
                      <wps:wsp>
                        <wps:cNvPr id="37" name="TextBox 38"/>
                        <wps:cNvSpPr txBox="1"/>
                        <wps:spPr>
                          <a:xfrm>
                            <a:off x="3179294" y="0"/>
                            <a:ext cx="1421785" cy="435201"/>
                          </a:xfrm>
                          <a:prstGeom prst="rect">
                            <a:avLst/>
                          </a:prstGeom>
                          <a:noFill/>
                        </wps:spPr>
                        <wps:txbx>
                          <w:txbxContent>
                            <w:p w14:paraId="19277072" w14:textId="77777777" w:rsidR="00D90F37" w:rsidRPr="00C63EA1" w:rsidRDefault="00D90F37" w:rsidP="00277CBD">
                              <w:pPr>
                                <w:pStyle w:val="NormalWeb"/>
                                <w:spacing w:before="0" w:beforeAutospacing="0" w:after="0" w:afterAutospacing="0"/>
                              </w:pPr>
                              <w:r w:rsidRPr="00C63EA1">
                                <w:rPr>
                                  <w:color w:val="000000" w:themeColor="text1"/>
                                  <w:kern w:val="24"/>
                                </w:rPr>
                                <w:t>Strict</w:t>
                              </w:r>
                              <w:r>
                                <w:rPr>
                                  <w:color w:val="000000" w:themeColor="text1"/>
                                  <w:kern w:val="24"/>
                                </w:rPr>
                                <w:t xml:space="preserve"> Liability</w:t>
                              </w:r>
                            </w:p>
                          </w:txbxContent>
                        </wps:txbx>
                        <wps:bodyPr wrap="square" rtlCol="0">
                          <a:noAutofit/>
                        </wps:bodyPr>
                      </wps:wsp>
                      <wps:wsp>
                        <wps:cNvPr id="38" name="TextBox 39"/>
                        <wps:cNvSpPr txBox="1"/>
                        <wps:spPr>
                          <a:xfrm>
                            <a:off x="4338360" y="1030031"/>
                            <a:ext cx="1285516" cy="466179"/>
                          </a:xfrm>
                          <a:prstGeom prst="rect">
                            <a:avLst/>
                          </a:prstGeom>
                          <a:noFill/>
                        </wps:spPr>
                        <wps:txbx>
                          <w:txbxContent>
                            <w:p w14:paraId="5034BF08" w14:textId="77777777" w:rsidR="00D90F37" w:rsidRPr="00C63EA1" w:rsidRDefault="00D90F37" w:rsidP="00277CBD">
                              <w:pPr>
                                <w:pStyle w:val="NormalWeb"/>
                                <w:spacing w:before="0" w:beforeAutospacing="0" w:after="0" w:afterAutospacing="0"/>
                              </w:pPr>
                              <w:r w:rsidRPr="00C63EA1">
                                <w:rPr>
                                  <w:color w:val="000000" w:themeColor="text1"/>
                                  <w:kern w:val="24"/>
                                </w:rPr>
                                <w:t>Strict Liability</w:t>
                              </w:r>
                            </w:p>
                          </w:txbxContent>
                        </wps:txbx>
                        <wps:bodyPr wrap="square" rtlCol="0">
                          <a:noAutofit/>
                        </wps:bodyPr>
                      </wps:wsp>
                      <wps:wsp>
                        <wps:cNvPr id="39" name="TextBox 40"/>
                        <wps:cNvSpPr txBox="1"/>
                        <wps:spPr>
                          <a:xfrm>
                            <a:off x="4219515" y="2180224"/>
                            <a:ext cx="1436660" cy="460484"/>
                          </a:xfrm>
                          <a:prstGeom prst="rect">
                            <a:avLst/>
                          </a:prstGeom>
                          <a:noFill/>
                        </wps:spPr>
                        <wps:txbx>
                          <w:txbxContent>
                            <w:p w14:paraId="715EB9B6" w14:textId="77777777" w:rsidR="00D90F37" w:rsidRPr="00C63EA1" w:rsidRDefault="00D90F37" w:rsidP="00277CBD">
                              <w:pPr>
                                <w:pStyle w:val="NormalWeb"/>
                                <w:spacing w:before="0" w:beforeAutospacing="0" w:after="0" w:afterAutospacing="0"/>
                              </w:pPr>
                              <w:r w:rsidRPr="00C63EA1">
                                <w:rPr>
                                  <w:color w:val="000000" w:themeColor="text1"/>
                                  <w:kern w:val="24"/>
                                </w:rPr>
                                <w:t>Strict Liability</w:t>
                              </w:r>
                            </w:p>
                          </w:txbxContent>
                        </wps:txbx>
                        <wps:bodyPr wrap="square" rtlCol="0">
                          <a:noAutofit/>
                        </wps:bodyPr>
                      </wps:wsp>
                      <wps:wsp>
                        <wps:cNvPr id="40" name="TextBox 41"/>
                        <wps:cNvSpPr txBox="1"/>
                        <wps:spPr>
                          <a:xfrm>
                            <a:off x="2539895" y="2666337"/>
                            <a:ext cx="1821180" cy="527856"/>
                          </a:xfrm>
                          <a:prstGeom prst="rect">
                            <a:avLst/>
                          </a:prstGeom>
                          <a:noFill/>
                        </wps:spPr>
                        <wps:txbx>
                          <w:txbxContent>
                            <w:p w14:paraId="6897B2A0" w14:textId="77777777" w:rsidR="00D90F37" w:rsidRPr="00C63EA1" w:rsidRDefault="00D90F37" w:rsidP="00277CBD">
                              <w:pPr>
                                <w:pStyle w:val="NormalWeb"/>
                                <w:spacing w:before="0" w:beforeAutospacing="0" w:after="0" w:afterAutospacing="0"/>
                              </w:pPr>
                              <w:r w:rsidRPr="00C63EA1">
                                <w:rPr>
                                  <w:color w:val="000000" w:themeColor="text1"/>
                                  <w:kern w:val="24"/>
                                </w:rPr>
                                <w:t>Fault-based Liability</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2D57E75" id="Group 42" o:spid="_x0000_s1029" style="position:absolute;left:0;text-align:left;margin-left:9pt;margin-top:11.55pt;width:435pt;height:4in;z-index:251663360;mso-position-horizontal-relative:margin;mso-width-relative:margin;mso-height-relative:margin" coordorigin="-224,-798" coordsize="73353,3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">
                <v:group id="Group 27" o:spid="_x0000_s1030" style="position:absolute;left:-224;top:-798;width:73353;height:36023" coordorigin="-224,-798" coordsize="73353,36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oundrect id="Rounded Rectangle 7" o:spid="_x0000_s1031" style="position:absolute;left:48853;top:25223;width:24276;height:100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" fillcolor="#4f81bd" strokecolor="white" strokeweight="2pt">
                    <v:textbox>
                      <w:txbxContent>
                        <w:p w14:paraId="6E48409B" w14:textId="77777777" w:rsidR="00D90F37" w:rsidRPr="0087187F" w:rsidRDefault="00D90F37" w:rsidP="00277CBD">
                          <w:pPr>
                            <w:pStyle w:val="NormalWeb"/>
                            <w:spacing w:before="0" w:beforeAutospacing="0" w:after="101" w:afterAutospacing="0" w:line="216" w:lineRule="auto"/>
                            <w:jc w:val="center"/>
                          </w:pPr>
                          <w:r w:rsidRPr="00FF727E">
                            <w:rPr>
                              <w:bCs/>
                              <w:color w:val="FFFFFF" w:themeColor="light1"/>
                              <w:kern w:val="24"/>
                            </w:rPr>
                            <w:t>Damage to Biodiversity</w:t>
                          </w:r>
                        </w:p>
                        <w:p w14:paraId="64E36FB8" w14:textId="77777777" w:rsidR="00D90F37" w:rsidRPr="0087187F" w:rsidRDefault="00D90F37" w:rsidP="00277CBD">
                          <w:pPr>
                            <w:pStyle w:val="NormalWeb"/>
                            <w:spacing w:before="0" w:beforeAutospacing="0" w:after="101" w:afterAutospacing="0" w:line="216" w:lineRule="auto"/>
                            <w:jc w:val="center"/>
                          </w:pPr>
                          <w:r w:rsidRPr="00FF727E">
                            <w:rPr>
                              <w:bCs/>
                              <w:color w:val="FFFFFF" w:themeColor="light1"/>
                              <w:kern w:val="24"/>
                            </w:rPr>
                            <w:t>(EU protected natural resources in Natura 2000 Areas)</w:t>
                          </w:r>
                        </w:p>
                        <w:p w14:paraId="0441D7F7" w14:textId="77777777" w:rsidR="00D90F37" w:rsidRDefault="00D90F37" w:rsidP="00277CBD">
                          <w:pPr>
                            <w:jc w:val="center"/>
                          </w:pPr>
                        </w:p>
                      </w:txbxContent>
                    </v:textbox>
                  </v:roundrect>
                  <v:roundrect id="Rounded Rectangle 10" o:spid="_x0000_s1032" style="position:absolute;left:48793;top:15438;width:18537;height:481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" fillcolor="#4f81bd" strokecolor="white" strokeweight="2pt">
                    <v:textbox>
                      <w:txbxContent>
                        <w:p w14:paraId="37A744DA" w14:textId="77777777" w:rsidR="00D90F37" w:rsidRPr="0087187F" w:rsidRDefault="00D90F37" w:rsidP="00277CBD">
                          <w:pPr>
                            <w:pStyle w:val="NormalWeb"/>
                            <w:spacing w:before="0" w:beforeAutospacing="0" w:after="101" w:afterAutospacing="0" w:line="216" w:lineRule="auto"/>
                            <w:jc w:val="center"/>
                          </w:pPr>
                          <w:r w:rsidRPr="00FF727E">
                            <w:rPr>
                              <w:bCs/>
                              <w:color w:val="FFFFFF" w:themeColor="light1"/>
                              <w:kern w:val="24"/>
                            </w:rPr>
                            <w:t>Contaminated Sites</w:t>
                          </w:r>
                        </w:p>
                        <w:p w14:paraId="270933CB" w14:textId="77777777" w:rsidR="00D90F37" w:rsidRDefault="00D90F37" w:rsidP="00277CBD">
                          <w:pPr>
                            <w:jc w:val="center"/>
                          </w:pPr>
                        </w:p>
                      </w:txbxContent>
                    </v:textbox>
                  </v:roundrect>
                  <v:roundrect id="Rounded Rectangle 13" o:spid="_x0000_s1033" style="position:absolute;left:49507;width:23622;height:88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" fillcolor="#4f81bd" strokecolor="white" strokeweight="2pt">
                    <v:textbox>
                      <w:txbxContent>
                        <w:p w14:paraId="5EA40598" w14:textId="77777777" w:rsidR="00D90F37" w:rsidRPr="00176137" w:rsidRDefault="00D90F37" w:rsidP="00277CBD">
                          <w:pPr>
                            <w:pStyle w:val="NormalWeb"/>
                            <w:spacing w:before="0" w:beforeAutospacing="0" w:after="101" w:afterAutospacing="0" w:line="216" w:lineRule="auto"/>
                            <w:jc w:val="center"/>
                          </w:pPr>
                          <w:r w:rsidRPr="00FF727E">
                            <w:rPr>
                              <w:bCs/>
                              <w:color w:val="FFFFFF" w:themeColor="light1"/>
                              <w:kern w:val="24"/>
                            </w:rPr>
                            <w:t>Traditional Damage</w:t>
                          </w:r>
                        </w:p>
                        <w:p w14:paraId="55777295" w14:textId="77777777" w:rsidR="00D90F37" w:rsidRPr="00176137" w:rsidRDefault="00D90F37" w:rsidP="00277CBD">
                          <w:pPr>
                            <w:pStyle w:val="NormalWeb"/>
                            <w:spacing w:before="0" w:beforeAutospacing="0" w:after="101" w:afterAutospacing="0" w:line="216" w:lineRule="auto"/>
                            <w:jc w:val="center"/>
                          </w:pPr>
                          <w:r w:rsidRPr="00FF727E">
                            <w:rPr>
                              <w:bCs/>
                              <w:color w:val="FFFFFF" w:themeColor="light1"/>
                              <w:kern w:val="24"/>
                            </w:rPr>
                            <w:t>(Damage to Persons and Goods)</w:t>
                          </w:r>
                        </w:p>
                        <w:p w14:paraId="62739A37" w14:textId="77777777" w:rsidR="00D90F37" w:rsidRDefault="00D90F37" w:rsidP="00277CBD">
                          <w:pPr>
                            <w:jc w:val="center"/>
                          </w:pPr>
                        </w:p>
                      </w:txbxContent>
                    </v:textbox>
                  </v:roundrect>
                  <v:roundrect id="Rounded Rectangle 16" o:spid="_x0000_s1034" style="position:absolute;left:-224;top:-798;width:25145;height:103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" fillcolor="#4f81bd" strokecolor="white" strokeweight="2pt">
                    <v:textbox>
                      <w:txbxContent>
                        <w:p w14:paraId="20115F51" w14:textId="77777777" w:rsidR="00D90F37" w:rsidRPr="00176137" w:rsidRDefault="00D90F37" w:rsidP="00277CBD">
                          <w:pPr>
                            <w:pStyle w:val="NormalWeb"/>
                            <w:spacing w:before="0" w:beforeAutospacing="0" w:after="101" w:afterAutospacing="0" w:line="216" w:lineRule="auto"/>
                            <w:jc w:val="center"/>
                          </w:pPr>
                          <w:r w:rsidRPr="00FF727E">
                            <w:rPr>
                              <w:bCs/>
                              <w:color w:val="FFFFFF" w:themeColor="light1"/>
                              <w:kern w:val="24"/>
                            </w:rPr>
                            <w:t>Dangerous and Potentially Dangerous Activities regulated by EU Environment-related Law</w:t>
                          </w:r>
                        </w:p>
                        <w:p w14:paraId="55825987" w14:textId="77777777" w:rsidR="00D90F37" w:rsidRDefault="00D90F37" w:rsidP="00277CBD">
                          <w:pPr>
                            <w:jc w:val="center"/>
                          </w:pPr>
                        </w:p>
                      </w:txbxContent>
                    </v:textbox>
                  </v:roundrect>
                  <v:roundrect id="Rounded Rectangle 19" o:spid="_x0000_s1035" style="position:absolute;left:108;top:28067;width:22428;height:57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" fillcolor="#4f81bd" strokecolor="white" strokeweight="2pt">
                    <v:textbox>
                      <w:txbxContent>
                        <w:p w14:paraId="24859CCB" w14:textId="77777777" w:rsidR="00D90F37" w:rsidRPr="00FF727E" w:rsidRDefault="00D90F37" w:rsidP="00277CBD">
                          <w:pPr>
                            <w:jc w:val="center"/>
                            <w:rPr>
                              <w:color w:val="FFFFFF" w:themeColor="background1"/>
                            </w:rPr>
                          </w:pPr>
                          <w:r w:rsidRPr="00FF727E">
                            <w:rPr>
                              <w:color w:val="FFFFFF" w:themeColor="background1"/>
                            </w:rPr>
                            <w:t>Non-Dangerous Activities</w:t>
                          </w:r>
                        </w:p>
                      </w:txbxContent>
                    </v:textbox>
                  </v:roundrect>
                  <v:shapetype id="_x0000_t32" coordsize="21600,21600" o:spt="32" o:oned="t" path="m,l21600,21600e" filled="f">
                    <v:path arrowok="t" fillok="f" o:connecttype="none"/>
                    <o:lock v:ext="edit" shapetype="t"/>
                  </v:shapetype>
                  <v:shape id="Straight Arrow Connector 33" o:spid="_x0000_s1036" type="#_x0000_t32" style="position:absolute;left:24921;top:4352;width:24586;height: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" strokecolor="#4a7ebb">
                    <v:stroke endarrow="open"/>
                  </v:shape>
                  <v:shape id="Straight Arrow Connector 34" o:spid="_x0000_s1037" type="#_x0000_t32" style="position:absolute;left:24921;top:4352;width:23872;height:12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" strokecolor="#4a7ebb">
                    <v:stroke endarrow="open"/>
                  </v:shape>
                  <v:shape id="Straight Arrow Connector 35" o:spid="_x0000_s1038" type="#_x0000_t32" style="position:absolute;left:24921;top:4352;width:23932;height:267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" strokecolor="#4a7ebb">
                    <v:stroke endarrow="open"/>
                  </v:shape>
                  <v:shape id="Straight Arrow Connector 36" o:spid="_x0000_s1039" type="#_x0000_t32" style="position:absolute;left:22536;top:30928;width:26317;height: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" strokecolor="#4a7ebb">
                    <v:stroke endarrow="open"/>
                  </v:shape>
                </v:group>
                <v:shapetype id="_x0000_t202" coordsize="21600,21600" o:spt="202" path="m,l,21600r21600,l21600,xe">
                  <v:stroke joinstyle="miter"/>
                  <v:path gradientshapeok="t" o:connecttype="rect"/>
                </v:shapetype>
                <v:shape id="TextBox 38" o:spid="_x0000_s1040" type="#_x0000_t202" style="position:absolute;left:31792;width:14218;height:4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19277072" w14:textId="77777777" w:rsidR="00D90F37" w:rsidRPr="00C63EA1" w:rsidRDefault="00D90F37" w:rsidP="00277CBD">
                        <w:pPr>
                          <w:pStyle w:val="NormalWeb"/>
                          <w:spacing w:before="0" w:beforeAutospacing="0" w:after="0" w:afterAutospacing="0"/>
                        </w:pPr>
                        <w:r w:rsidRPr="00C63EA1">
                          <w:rPr>
                            <w:color w:val="000000" w:themeColor="text1"/>
                            <w:kern w:val="24"/>
                          </w:rPr>
                          <w:t>Strict</w:t>
                        </w:r>
                        <w:r>
                          <w:rPr>
                            <w:color w:val="000000" w:themeColor="text1"/>
                            <w:kern w:val="24"/>
                          </w:rPr>
                          <w:t xml:space="preserve"> Liability</w:t>
                        </w:r>
                      </w:p>
                    </w:txbxContent>
                  </v:textbox>
                </v:shape>
                <v:shape id="TextBox 39" o:spid="_x0000_s1041" type="#_x0000_t202" style="position:absolute;left:43383;top:10300;width:12855;height: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5034BF08" w14:textId="77777777" w:rsidR="00D90F37" w:rsidRPr="00C63EA1" w:rsidRDefault="00D90F37" w:rsidP="00277CBD">
                        <w:pPr>
                          <w:pStyle w:val="NormalWeb"/>
                          <w:spacing w:before="0" w:beforeAutospacing="0" w:after="0" w:afterAutospacing="0"/>
                        </w:pPr>
                        <w:r w:rsidRPr="00C63EA1">
                          <w:rPr>
                            <w:color w:val="000000" w:themeColor="text1"/>
                            <w:kern w:val="24"/>
                          </w:rPr>
                          <w:t>Strict Liability</w:t>
                        </w:r>
                      </w:p>
                    </w:txbxContent>
                  </v:textbox>
                </v:shape>
                <v:shape id="TextBox 40" o:spid="_x0000_s1042" type="#_x0000_t202" style="position:absolute;left:42195;top:21802;width:14366;height:4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715EB9B6" w14:textId="77777777" w:rsidR="00D90F37" w:rsidRPr="00C63EA1" w:rsidRDefault="00D90F37" w:rsidP="00277CBD">
                        <w:pPr>
                          <w:pStyle w:val="NormalWeb"/>
                          <w:spacing w:before="0" w:beforeAutospacing="0" w:after="0" w:afterAutospacing="0"/>
                        </w:pPr>
                        <w:r w:rsidRPr="00C63EA1">
                          <w:rPr>
                            <w:color w:val="000000" w:themeColor="text1"/>
                            <w:kern w:val="24"/>
                          </w:rPr>
                          <w:t>Strict Liability</w:t>
                        </w:r>
                      </w:p>
                    </w:txbxContent>
                  </v:textbox>
                </v:shape>
                <v:shape id="TextBox 41" o:spid="_x0000_s1043" type="#_x0000_t202" style="position:absolute;left:25398;top:26663;width:18212;height:5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6897B2A0" w14:textId="77777777" w:rsidR="00D90F37" w:rsidRPr="00C63EA1" w:rsidRDefault="00D90F37" w:rsidP="00277CBD">
                        <w:pPr>
                          <w:pStyle w:val="NormalWeb"/>
                          <w:spacing w:before="0" w:beforeAutospacing="0" w:after="0" w:afterAutospacing="0"/>
                        </w:pPr>
                        <w:r w:rsidRPr="00C63EA1">
                          <w:rPr>
                            <w:color w:val="000000" w:themeColor="text1"/>
                            <w:kern w:val="24"/>
                          </w:rPr>
                          <w:t>Fault-based Liability</w:t>
                        </w:r>
                      </w:p>
                    </w:txbxContent>
                  </v:textbox>
                </v:shape>
                <w10:wrap anchorx="margin"/>
              </v:group>
            </w:pict>
          </mc:Fallback>
        </mc:AlternateContent>
      </w:r>
    </w:p>
    <w:p w14:paraId="4B99056E" w14:textId="0624C2BA" w:rsidR="007951D2" w:rsidRPr="005918D5" w:rsidRDefault="007951D2" w:rsidP="00DF4684">
      <w:pPr>
        <w:spacing w:after="120" w:line="360" w:lineRule="auto"/>
        <w:jc w:val="both"/>
        <w:rPr>
          <w:sz w:val="22"/>
        </w:rPr>
      </w:pPr>
    </w:p>
    <w:p w14:paraId="4B4F1CEE" w14:textId="1D0047D3" w:rsidR="004E2E25" w:rsidRPr="005918D5" w:rsidRDefault="004E2E25" w:rsidP="00DF4684">
      <w:pPr>
        <w:spacing w:after="120" w:line="360" w:lineRule="auto"/>
        <w:jc w:val="both"/>
        <w:rPr>
          <w:sz w:val="22"/>
        </w:rPr>
      </w:pPr>
    </w:p>
    <w:p w14:paraId="2ED023B9" w14:textId="01F74149" w:rsidR="004E2E25" w:rsidRPr="005918D5" w:rsidRDefault="004E2E25" w:rsidP="00DF4684">
      <w:pPr>
        <w:spacing w:after="120" w:line="360" w:lineRule="auto"/>
        <w:jc w:val="both"/>
        <w:rPr>
          <w:sz w:val="22"/>
        </w:rPr>
      </w:pPr>
    </w:p>
    <w:p w14:paraId="05902F2B" w14:textId="076E2718" w:rsidR="004E2E25" w:rsidRPr="005918D5" w:rsidRDefault="004E2E25" w:rsidP="00DF4684">
      <w:pPr>
        <w:spacing w:after="120" w:line="360" w:lineRule="auto"/>
        <w:jc w:val="both"/>
        <w:rPr>
          <w:sz w:val="22"/>
        </w:rPr>
      </w:pPr>
    </w:p>
    <w:p w14:paraId="27DE7D1B" w14:textId="1D7244A3" w:rsidR="004E2E25" w:rsidRPr="005918D5" w:rsidRDefault="004E2E25" w:rsidP="00DF4684">
      <w:pPr>
        <w:spacing w:after="120" w:line="360" w:lineRule="auto"/>
        <w:jc w:val="both"/>
        <w:rPr>
          <w:sz w:val="22"/>
        </w:rPr>
      </w:pPr>
    </w:p>
    <w:p w14:paraId="43BFED44" w14:textId="34FE318E" w:rsidR="004E2E25" w:rsidRPr="005918D5" w:rsidRDefault="004E2E25" w:rsidP="00DF4684">
      <w:pPr>
        <w:spacing w:after="120" w:line="360" w:lineRule="auto"/>
        <w:jc w:val="both"/>
        <w:rPr>
          <w:sz w:val="22"/>
        </w:rPr>
      </w:pPr>
    </w:p>
    <w:p w14:paraId="2B4B6678" w14:textId="033D3F60" w:rsidR="00DF4684" w:rsidRPr="005918D5" w:rsidRDefault="00DF4684" w:rsidP="00DF4684">
      <w:pPr>
        <w:spacing w:after="120" w:line="360" w:lineRule="auto"/>
        <w:jc w:val="both"/>
        <w:rPr>
          <w:sz w:val="22"/>
        </w:rPr>
      </w:pPr>
    </w:p>
    <w:p w14:paraId="6038F4A0" w14:textId="77777777" w:rsidR="00D914B2" w:rsidRDefault="00D914B2" w:rsidP="00DF4684">
      <w:pPr>
        <w:spacing w:after="120" w:line="360" w:lineRule="auto"/>
        <w:jc w:val="both"/>
        <w:rPr>
          <w:sz w:val="22"/>
        </w:rPr>
      </w:pPr>
    </w:p>
    <w:p w14:paraId="1E3B64A2" w14:textId="77777777" w:rsidR="00D914B2" w:rsidRDefault="00D914B2" w:rsidP="00DF4684">
      <w:pPr>
        <w:spacing w:after="120" w:line="360" w:lineRule="auto"/>
        <w:jc w:val="both"/>
        <w:rPr>
          <w:sz w:val="22"/>
        </w:rPr>
      </w:pPr>
    </w:p>
    <w:p w14:paraId="4BCF1607" w14:textId="77777777" w:rsidR="00D914B2" w:rsidRDefault="00D914B2" w:rsidP="00DF4684">
      <w:pPr>
        <w:spacing w:after="120" w:line="360" w:lineRule="auto"/>
        <w:jc w:val="both"/>
        <w:rPr>
          <w:sz w:val="22"/>
        </w:rPr>
      </w:pPr>
    </w:p>
    <w:p w14:paraId="5E927B8B" w14:textId="77777777" w:rsidR="00D914B2" w:rsidRDefault="00D914B2" w:rsidP="00DF4684">
      <w:pPr>
        <w:spacing w:after="120" w:line="360" w:lineRule="auto"/>
        <w:jc w:val="both"/>
        <w:rPr>
          <w:sz w:val="22"/>
        </w:rPr>
      </w:pPr>
    </w:p>
    <w:p w14:paraId="3F26F48B" w14:textId="77777777" w:rsidR="00D914B2" w:rsidRDefault="00D914B2" w:rsidP="00DF4684">
      <w:pPr>
        <w:spacing w:after="120" w:line="360" w:lineRule="auto"/>
        <w:jc w:val="both"/>
        <w:rPr>
          <w:sz w:val="22"/>
        </w:rPr>
      </w:pPr>
    </w:p>
    <w:p w14:paraId="6B12D6F0" w14:textId="763D79D7" w:rsidR="00A45F20" w:rsidRPr="005918D5" w:rsidRDefault="00A45F20" w:rsidP="00DF4684">
      <w:pPr>
        <w:spacing w:after="120" w:line="360" w:lineRule="auto"/>
        <w:jc w:val="both"/>
        <w:rPr>
          <w:sz w:val="22"/>
        </w:rPr>
      </w:pPr>
      <w:r w:rsidRPr="005918D5">
        <w:rPr>
          <w:sz w:val="22"/>
        </w:rPr>
        <w:t xml:space="preserve">In cases where the damage itself is identifiable and limited to biodiversity and contamination of sites, </w:t>
      </w:r>
      <w:r w:rsidR="00367DD5">
        <w:rPr>
          <w:sz w:val="22"/>
        </w:rPr>
        <w:t xml:space="preserve">it is defined as strict liability </w:t>
      </w:r>
      <w:r w:rsidR="00C56126">
        <w:rPr>
          <w:sz w:val="22"/>
        </w:rPr>
        <w:t>(see Figure 8.</w:t>
      </w:r>
      <w:r w:rsidR="008E5FD8">
        <w:rPr>
          <w:sz w:val="22"/>
        </w:rPr>
        <w:t>2</w:t>
      </w:r>
      <w:r w:rsidR="00C56126">
        <w:rPr>
          <w:sz w:val="22"/>
        </w:rPr>
        <w:t xml:space="preserve">) where a </w:t>
      </w:r>
      <w:r w:rsidRPr="005918D5">
        <w:rPr>
          <w:sz w:val="22"/>
        </w:rPr>
        <w:t xml:space="preserve">precise economic quantitative valuation of damage is essential, mainly when it is irreversible, although this remains a challenging proposition. When restoration of damage is still possible, the estimation of costs is a necessary tool for both the commercial operator and the public state body. In both cases, if partial restoration is the only option, alternative solutions and replacements may need to be evaluated. The outcomes will very much depend on the soundness of the methodology used to assess risks and measure impact. The community directives provide a spatial component in the classification of environmentally hazardous activities by requiring states to measure the ecological impacts of commercial operators beyond their borders on pre-established trans-border marine areas. Such measures are also multi-disciplinary and range from the physical </w:t>
      </w:r>
      <w:r w:rsidR="0023237F" w:rsidRPr="005918D5">
        <w:rPr>
          <w:sz w:val="22"/>
        </w:rPr>
        <w:t xml:space="preserve">and </w:t>
      </w:r>
      <w:r w:rsidRPr="005918D5">
        <w:rPr>
          <w:sz w:val="22"/>
        </w:rPr>
        <w:t>technical to the socio-economic and socio-ecological impacts on populations most affected by the deterioration of environmental services </w:t>
      </w:r>
      <w:r w:rsidRPr="005918D5">
        <w:rPr>
          <w:rStyle w:val="Emphasis"/>
          <w:i w:val="0"/>
          <w:sz w:val="22"/>
        </w:rPr>
        <w:t>(Art.13.3, DG Environment 2015, MSFD CIS)</w:t>
      </w:r>
      <w:r w:rsidRPr="005918D5">
        <w:rPr>
          <w:sz w:val="22"/>
        </w:rPr>
        <w:t>.</w:t>
      </w:r>
    </w:p>
    <w:p w14:paraId="67BAB308" w14:textId="19123B13" w:rsidR="00A45F20" w:rsidRPr="005918D5" w:rsidRDefault="00A45F20" w:rsidP="00DF4684">
      <w:pPr>
        <w:spacing w:after="120" w:line="360" w:lineRule="auto"/>
        <w:jc w:val="both"/>
        <w:rPr>
          <w:sz w:val="22"/>
        </w:rPr>
      </w:pPr>
      <w:r w:rsidRPr="005918D5">
        <w:rPr>
          <w:sz w:val="22"/>
        </w:rPr>
        <w:lastRenderedPageBreak/>
        <w:t>The process of creating a market risk community with a classification knowledge, systems, tools</w:t>
      </w:r>
      <w:r w:rsidR="0023237F" w:rsidRPr="005918D5">
        <w:rPr>
          <w:sz w:val="22"/>
        </w:rPr>
        <w:t>,</w:t>
      </w:r>
      <w:r w:rsidRPr="005918D5">
        <w:rPr>
          <w:sz w:val="22"/>
        </w:rPr>
        <w:t xml:space="preserve"> and funds for estimating and insuring biodiversity and environmental liability is both continuous and laborious. Similar processes at the national and international level have developed over many years with relevant examples from marine cargo and hull and space satellite telecommunications market segments. </w:t>
      </w:r>
      <w:r w:rsidR="0023237F" w:rsidRPr="005918D5">
        <w:rPr>
          <w:sz w:val="22"/>
        </w:rPr>
        <w:t>S</w:t>
      </w:r>
      <w:r w:rsidRPr="005918D5">
        <w:rPr>
          <w:sz w:val="22"/>
        </w:rPr>
        <w:t>ociety, with its academic, regulatory</w:t>
      </w:r>
      <w:r w:rsidR="0023237F" w:rsidRPr="005918D5">
        <w:rPr>
          <w:sz w:val="22"/>
        </w:rPr>
        <w:t>,</w:t>
      </w:r>
      <w:r w:rsidRPr="005918D5">
        <w:rPr>
          <w:sz w:val="22"/>
        </w:rPr>
        <w:t xml:space="preserve"> and market institutions</w:t>
      </w:r>
      <w:r w:rsidR="0023237F" w:rsidRPr="005918D5">
        <w:rPr>
          <w:sz w:val="22"/>
        </w:rPr>
        <w:t>,</w:t>
      </w:r>
      <w:r w:rsidRPr="005918D5">
        <w:rPr>
          <w:sz w:val="22"/>
        </w:rPr>
        <w:t xml:space="preserve"> is capable of developing risk classification and knowledge systems for complex multi-national and large geospatial hazard risk problems. The European Commission recommends to the members of national governments to encourage and facilitate the development of markets for mandatory environmental liability coverage. Simultaneously, a gap may be already emerging in readiness, theoretical understanding and metrics, and systems-in-place between the insurance industry and best practice recommendation</w:t>
      </w:r>
      <w:r w:rsidR="0023237F" w:rsidRPr="005918D5">
        <w:rPr>
          <w:sz w:val="22"/>
        </w:rPr>
        <w:t>s</w:t>
      </w:r>
      <w:r w:rsidRPr="005918D5">
        <w:rPr>
          <w:sz w:val="22"/>
        </w:rPr>
        <w:t xml:space="preserve"> from EU institutions. </w:t>
      </w:r>
    </w:p>
    <w:p w14:paraId="4DDBEF00" w14:textId="77777777" w:rsidR="00ED3A5B" w:rsidRPr="005918D5" w:rsidRDefault="00ED3A5B" w:rsidP="00DF4684">
      <w:pPr>
        <w:spacing w:after="120" w:line="360" w:lineRule="auto"/>
        <w:jc w:val="both"/>
        <w:rPr>
          <w:sz w:val="22"/>
        </w:rPr>
      </w:pPr>
    </w:p>
    <w:p w14:paraId="58E9F47A" w14:textId="77777777" w:rsidR="00ED3A5B" w:rsidRPr="005918D5" w:rsidRDefault="00D33D18" w:rsidP="00DF4684">
      <w:pPr>
        <w:pStyle w:val="BodyText2"/>
        <w:spacing w:after="120" w:line="360" w:lineRule="auto"/>
        <w:rPr>
          <w:i w:val="0"/>
          <w:iCs w:val="0"/>
          <w:szCs w:val="28"/>
        </w:rPr>
      </w:pPr>
      <w:r w:rsidRPr="005918D5">
        <w:rPr>
          <w:i w:val="0"/>
          <w:iCs w:val="0"/>
          <w:szCs w:val="28"/>
        </w:rPr>
        <w:t xml:space="preserve">4.0 </w:t>
      </w:r>
      <w:r w:rsidR="002A0889" w:rsidRPr="005918D5">
        <w:rPr>
          <w:i w:val="0"/>
          <w:iCs w:val="0"/>
          <w:szCs w:val="28"/>
        </w:rPr>
        <w:t>Developing Standard Insurance I</w:t>
      </w:r>
      <w:r w:rsidR="00ED3A5B" w:rsidRPr="005918D5">
        <w:rPr>
          <w:i w:val="0"/>
          <w:iCs w:val="0"/>
          <w:szCs w:val="28"/>
        </w:rPr>
        <w:t>nstrumen</w:t>
      </w:r>
      <w:r w:rsidR="002A0889" w:rsidRPr="005918D5">
        <w:rPr>
          <w:i w:val="0"/>
          <w:iCs w:val="0"/>
          <w:szCs w:val="28"/>
        </w:rPr>
        <w:t>ts for Environmental Biodiversity L</w:t>
      </w:r>
      <w:r w:rsidR="00ED3A5B" w:rsidRPr="005918D5">
        <w:rPr>
          <w:i w:val="0"/>
          <w:iCs w:val="0"/>
          <w:szCs w:val="28"/>
        </w:rPr>
        <w:t>iability</w:t>
      </w:r>
    </w:p>
    <w:p w14:paraId="3A59E811" w14:textId="5042414C" w:rsidR="00A45F20" w:rsidRPr="005918D5" w:rsidRDefault="00A45F20" w:rsidP="00DF4684">
      <w:pPr>
        <w:spacing w:after="120" w:line="360" w:lineRule="auto"/>
        <w:jc w:val="both"/>
        <w:rPr>
          <w:sz w:val="22"/>
        </w:rPr>
      </w:pPr>
      <w:r w:rsidRPr="005918D5">
        <w:rPr>
          <w:sz w:val="22"/>
        </w:rPr>
        <w:t>Various market-based financial instruments, including bank guarantees</w:t>
      </w:r>
      <w:r w:rsidR="007054D6" w:rsidRPr="005918D5">
        <w:rPr>
          <w:sz w:val="22"/>
        </w:rPr>
        <w:t>,</w:t>
      </w:r>
      <w:r w:rsidRPr="005918D5">
        <w:rPr>
          <w:sz w:val="22"/>
        </w:rPr>
        <w:t xml:space="preserve"> municipal and sovereign secured funds and bonds, are used to provide coverage for environmental liability. Insurance products have emerged as the most effective and popular coverage instrument. National insurance pools have also emerged in France, Italy</w:t>
      </w:r>
      <w:r w:rsidR="0023237F" w:rsidRPr="005918D5">
        <w:rPr>
          <w:sz w:val="22"/>
        </w:rPr>
        <w:t>,</w:t>
      </w:r>
      <w:r w:rsidRPr="005918D5">
        <w:rPr>
          <w:sz w:val="22"/>
        </w:rPr>
        <w:t xml:space="preserve"> and Spain. In principle, market insurance coverage for the Environmental Liability directive is effectively achieved with Third Party Liability and Environmental Impairment Liability policies. Still, the challenges in developing standard insurance instruments for environmental biodiversity liability are significant. An obvious definition of scope and scale of coverage, and the triggering mechanisms of its indemnification are critical for acceptance by all market players – insurers, commercial policyholders</w:t>
      </w:r>
      <w:r w:rsidR="0023237F" w:rsidRPr="005918D5">
        <w:rPr>
          <w:sz w:val="22"/>
        </w:rPr>
        <w:t>,</w:t>
      </w:r>
      <w:r w:rsidRPr="005918D5">
        <w:rPr>
          <w:sz w:val="22"/>
        </w:rPr>
        <w:t xml:space="preserve"> and regulators. The very nature of large-scale environmental catastrophe </w:t>
      </w:r>
      <w:r w:rsidR="0023237F" w:rsidRPr="005918D5">
        <w:rPr>
          <w:sz w:val="22"/>
        </w:rPr>
        <w:t xml:space="preserve">brings </w:t>
      </w:r>
      <w:r w:rsidRPr="005918D5">
        <w:rPr>
          <w:sz w:val="22"/>
        </w:rPr>
        <w:t xml:space="preserve">the risk </w:t>
      </w:r>
      <w:r w:rsidR="0023237F" w:rsidRPr="005918D5">
        <w:rPr>
          <w:sz w:val="22"/>
        </w:rPr>
        <w:t xml:space="preserve">of </w:t>
      </w:r>
      <w:r w:rsidRPr="005918D5">
        <w:rPr>
          <w:sz w:val="22"/>
        </w:rPr>
        <w:t xml:space="preserve">bankruptcy upon the offending party. This opens the needs for a solution </w:t>
      </w:r>
      <w:r w:rsidR="00DF0B39" w:rsidRPr="005918D5">
        <w:rPr>
          <w:sz w:val="22"/>
        </w:rPr>
        <w:t>that</w:t>
      </w:r>
      <w:r w:rsidRPr="005918D5">
        <w:rPr>
          <w:sz w:val="22"/>
        </w:rPr>
        <w:t xml:space="preserve"> remediates </w:t>
      </w:r>
      <w:r w:rsidR="00DF0B39" w:rsidRPr="005918D5">
        <w:rPr>
          <w:sz w:val="22"/>
        </w:rPr>
        <w:t xml:space="preserve">to </w:t>
      </w:r>
      <w:r w:rsidRPr="005918D5">
        <w:rPr>
          <w:sz w:val="22"/>
        </w:rPr>
        <w:t xml:space="preserve">the possibility of corporate bankruptcy, such as (1) mandatory insurance, (2) the intervention of the state </w:t>
      </w:r>
      <w:r w:rsidR="00385AFF" w:rsidRPr="005918D5">
        <w:rPr>
          <w:sz w:val="22"/>
        </w:rPr>
        <w:t>by</w:t>
      </w:r>
      <w:r w:rsidRPr="005918D5">
        <w:rPr>
          <w:sz w:val="22"/>
        </w:rPr>
        <w:t xml:space="preserve"> providing the full financial coverage</w:t>
      </w:r>
      <w:r w:rsidR="00385AFF" w:rsidRPr="005918D5">
        <w:rPr>
          <w:sz w:val="22"/>
        </w:rPr>
        <w:t>,</w:t>
      </w:r>
      <w:r w:rsidRPr="005918D5">
        <w:rPr>
          <w:sz w:val="22"/>
        </w:rPr>
        <w:t xml:space="preserve"> and (3) </w:t>
      </w:r>
      <w:r w:rsidR="00385AFF" w:rsidRPr="005918D5">
        <w:rPr>
          <w:sz w:val="22"/>
        </w:rPr>
        <w:t xml:space="preserve">the </w:t>
      </w:r>
      <w:r w:rsidRPr="005918D5">
        <w:rPr>
          <w:sz w:val="22"/>
        </w:rPr>
        <w:t xml:space="preserve">private-public sector fund pools, which are insulated from litigation and are thus available to provide uninterrupted financial security. </w:t>
      </w:r>
    </w:p>
    <w:p w14:paraId="3461D779" w14:textId="7DF9A613" w:rsidR="00E43723" w:rsidRPr="005918D5" w:rsidRDefault="00A45F20" w:rsidP="00DF4684">
      <w:pPr>
        <w:spacing w:after="120" w:line="360" w:lineRule="auto"/>
        <w:jc w:val="both"/>
        <w:rPr>
          <w:sz w:val="22"/>
        </w:rPr>
      </w:pPr>
      <w:r w:rsidRPr="005918D5">
        <w:rPr>
          <w:sz w:val="22"/>
        </w:rPr>
        <w:t xml:space="preserve">The definition of unpredictable and random insurable events and scenarios that span over longer time-periods, covered by general liability policies is still in process from both an economic and legal perspective. </w:t>
      </w:r>
      <w:r w:rsidR="008E5FD8">
        <w:rPr>
          <w:sz w:val="22"/>
        </w:rPr>
        <w:t>Th</w:t>
      </w:r>
      <w:r w:rsidR="002D7933">
        <w:rPr>
          <w:sz w:val="22"/>
        </w:rPr>
        <w:t>is very</w:t>
      </w:r>
      <w:r w:rsidR="008E5FD8">
        <w:rPr>
          <w:sz w:val="22"/>
        </w:rPr>
        <w:t xml:space="preserve"> definition and explicit socialization </w:t>
      </w:r>
      <w:r w:rsidR="002D7933">
        <w:rPr>
          <w:sz w:val="22"/>
        </w:rPr>
        <w:t>are performed</w:t>
      </w:r>
      <w:r w:rsidR="008E5FD8">
        <w:rPr>
          <w:sz w:val="22"/>
        </w:rPr>
        <w:t xml:space="preserve"> within the framework of the ELD 2008 (see Figure 8.3)</w:t>
      </w:r>
      <w:r w:rsidR="002D7933">
        <w:rPr>
          <w:sz w:val="22"/>
        </w:rPr>
        <w:t xml:space="preserve">.  The ELD 2008 and four additional components as defined in Figure 8.3 are deemed indispensable to the effective functioning of an insurance market for marine biodiversity liability.  </w:t>
      </w:r>
      <w:r w:rsidRPr="005918D5">
        <w:rPr>
          <w:sz w:val="22"/>
        </w:rPr>
        <w:t xml:space="preserve">This first step of putting in place legal definitions is </w:t>
      </w:r>
      <w:r w:rsidRPr="005918D5">
        <w:rPr>
          <w:sz w:val="22"/>
        </w:rPr>
        <w:lastRenderedPageBreak/>
        <w:t xml:space="preserve">currently in progress at many levels </w:t>
      </w:r>
      <w:r w:rsidR="00385AFF" w:rsidRPr="005918D5">
        <w:rPr>
          <w:sz w:val="22"/>
        </w:rPr>
        <w:t>for</w:t>
      </w:r>
      <w:r w:rsidRPr="005918D5">
        <w:rPr>
          <w:sz w:val="22"/>
        </w:rPr>
        <w:t xml:space="preserve"> national and EU bodies. Once a stable and acceptable legal framework is functioning, which is the process in construction since 2008, then inevitably follows the task of production and dissemination of modelled statistical risk metrics. Such metrics require that the probability and severity of marine biodiversity damage and loss must be quantifiable, which is tremendously challenging since the scientific expertise in this field is just beginning to emerge. </w:t>
      </w:r>
      <w:r w:rsidR="00385AFF" w:rsidRPr="005918D5">
        <w:rPr>
          <w:sz w:val="22"/>
        </w:rPr>
        <w:t>A</w:t>
      </w:r>
      <w:r w:rsidRPr="005918D5">
        <w:rPr>
          <w:sz w:val="22"/>
        </w:rPr>
        <w:t xml:space="preserve"> market risk community of commercial operators, researchers, and insurers and financiers</w:t>
      </w:r>
      <w:r w:rsidR="002D7933">
        <w:rPr>
          <w:sz w:val="22"/>
        </w:rPr>
        <w:t xml:space="preserve">, which is to appreciate </w:t>
      </w:r>
      <w:r w:rsidR="00281899">
        <w:rPr>
          <w:sz w:val="22"/>
        </w:rPr>
        <w:t xml:space="preserve">required </w:t>
      </w:r>
      <w:r w:rsidR="002D7933">
        <w:rPr>
          <w:sz w:val="22"/>
        </w:rPr>
        <w:t>dependences among these five components (see Figure 8.3)</w:t>
      </w:r>
      <w:r w:rsidRPr="005918D5">
        <w:rPr>
          <w:sz w:val="22"/>
        </w:rPr>
        <w:t xml:space="preserve"> needs to emerge </w:t>
      </w:r>
      <w:r w:rsidR="00385AFF" w:rsidRPr="005918D5">
        <w:rPr>
          <w:sz w:val="22"/>
        </w:rPr>
        <w:t xml:space="preserve">on such ground </w:t>
      </w:r>
      <w:r w:rsidRPr="005918D5">
        <w:rPr>
          <w:sz w:val="22"/>
        </w:rPr>
        <w:t>to identify, share, diversify</w:t>
      </w:r>
      <w:r w:rsidR="00385AFF" w:rsidRPr="005918D5">
        <w:rPr>
          <w:sz w:val="22"/>
        </w:rPr>
        <w:t>,</w:t>
      </w:r>
      <w:r w:rsidRPr="005918D5">
        <w:rPr>
          <w:sz w:val="22"/>
        </w:rPr>
        <w:t xml:space="preserve"> and ultimately turn this risk into a transferable commodity. </w:t>
      </w:r>
      <w:r w:rsidR="00385AFF" w:rsidRPr="005918D5">
        <w:rPr>
          <w:sz w:val="22"/>
        </w:rPr>
        <w:t>Only t</w:t>
      </w:r>
      <w:r w:rsidRPr="005918D5">
        <w:rPr>
          <w:sz w:val="22"/>
        </w:rPr>
        <w:t xml:space="preserve">hen </w:t>
      </w:r>
      <w:r w:rsidR="00385AFF" w:rsidRPr="005918D5">
        <w:rPr>
          <w:sz w:val="22"/>
        </w:rPr>
        <w:t xml:space="preserve">will </w:t>
      </w:r>
      <w:r w:rsidRPr="005918D5">
        <w:rPr>
          <w:sz w:val="22"/>
        </w:rPr>
        <w:t>private insurance and re</w:t>
      </w:r>
      <w:r w:rsidR="00BD12A6" w:rsidRPr="005918D5">
        <w:rPr>
          <w:sz w:val="22"/>
        </w:rPr>
        <w:t>-</w:t>
      </w:r>
      <w:r w:rsidRPr="005918D5">
        <w:rPr>
          <w:sz w:val="22"/>
        </w:rPr>
        <w:t>insurance firms be able to estimate the risk and charge a premium for its transfer and accumulation.</w:t>
      </w:r>
    </w:p>
    <w:p w14:paraId="4BE55F80" w14:textId="22FC186E" w:rsidR="007951D2" w:rsidRPr="005918D5" w:rsidRDefault="008E5FD8" w:rsidP="00DF4684">
      <w:pPr>
        <w:spacing w:after="120" w:line="360" w:lineRule="auto"/>
        <w:jc w:val="both"/>
        <w:rPr>
          <w:iCs/>
          <w:sz w:val="22"/>
        </w:rPr>
      </w:pPr>
      <w:r w:rsidRPr="005918D5">
        <w:rPr>
          <w:noProof/>
          <w:sz w:val="22"/>
          <w:lang w:val="en-CA" w:eastAsia="en-CA"/>
        </w:rPr>
        <mc:AlternateContent>
          <mc:Choice Requires="wpg">
            <w:drawing>
              <wp:anchor distT="0" distB="0" distL="114300" distR="114300" simplePos="0" relativeHeight="251659264" behindDoc="0" locked="0" layoutInCell="1" allowOverlap="1" wp14:anchorId="75F726F3" wp14:editId="312E1B04">
                <wp:simplePos x="0" y="0"/>
                <wp:positionH relativeFrom="margin">
                  <wp:posOffset>-552450</wp:posOffset>
                </wp:positionH>
                <wp:positionV relativeFrom="paragraph">
                  <wp:posOffset>400050</wp:posOffset>
                </wp:positionV>
                <wp:extent cx="6438900" cy="3829050"/>
                <wp:effectExtent l="0" t="0" r="0" b="0"/>
                <wp:wrapNone/>
                <wp:docPr id="1" name="Group 2"/>
                <wp:cNvGraphicFramePr/>
                <a:graphic xmlns:a="http://schemas.openxmlformats.org/drawingml/2006/main">
                  <a:graphicData uri="http://schemas.microsoft.com/office/word/2010/wordprocessingGroup">
                    <wpg:wgp>
                      <wpg:cNvGrpSpPr/>
                      <wpg:grpSpPr>
                        <a:xfrm>
                          <a:off x="0" y="0"/>
                          <a:ext cx="6438900" cy="3829050"/>
                          <a:chOff x="0" y="0"/>
                          <a:chExt cx="5867399" cy="3429000"/>
                        </a:xfrm>
                      </wpg:grpSpPr>
                      <wps:wsp>
                        <wps:cNvPr id="2" name="Hexagon 2"/>
                        <wps:cNvSpPr/>
                        <wps:spPr>
                          <a:xfrm>
                            <a:off x="1852422" y="729574"/>
                            <a:ext cx="2283751" cy="2071730"/>
                          </a:xfrm>
                          <a:prstGeom prst="hexagon">
                            <a:avLst/>
                          </a:prstGeom>
                          <a:solidFill>
                            <a:sysClr val="window" lastClr="FFFFFF"/>
                          </a:solidFill>
                          <a:ln w="12700" cap="flat" cmpd="sng" algn="ctr">
                            <a:solidFill>
                              <a:sysClr val="windowText" lastClr="000000"/>
                            </a:solidFill>
                            <a:prstDash val="solid"/>
                          </a:ln>
                          <a:effectLst/>
                        </wps:spPr>
                        <wps:txbx>
                          <w:txbxContent>
                            <w:p w14:paraId="69B9FD35" w14:textId="77777777" w:rsidR="00D90F37" w:rsidRPr="002D7933" w:rsidRDefault="00D90F37" w:rsidP="00CB3C49">
                              <w:pPr>
                                <w:pStyle w:val="NormalWeb"/>
                                <w:spacing w:before="0" w:beforeAutospacing="0" w:after="0" w:afterAutospacing="0"/>
                                <w:jc w:val="center"/>
                              </w:pPr>
                              <w:r w:rsidRPr="00C827B8">
                                <w:rPr>
                                  <w:rFonts w:eastAsia="Times New Roman" w:cstheme="minorBidi"/>
                                  <w:color w:val="00B050"/>
                                  <w:kern w:val="24"/>
                                </w:rPr>
                                <w:t xml:space="preserve">Requirements for Operational Insurance Market for Marine Biodiversity Liability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aphicFrame>
                        <wpg:cNvPr id="3" name="Diagram 3"/>
                        <wpg:cNvFrPr/>
                        <wpg:xfrm>
                          <a:off x="0" y="0"/>
                          <a:ext cx="5867399" cy="3429000"/>
                        </wpg:xfrm>
                        <a:graphic>
                          <a:graphicData uri="http://schemas.openxmlformats.org/drawingml/2006/diagram">
                            <dgm:relIds xmlns:dgm="http://schemas.openxmlformats.org/drawingml/2006/diagram" xmlns:r="http://schemas.openxmlformats.org/officeDocument/2006/relationships" r:dm="rId16" r:lo="rId17" r:qs="rId18" r:cs="rId19"/>
                          </a:graphicData>
                        </a:graphic>
                      </wpg:graphicFrame>
                    </wpg:wgp>
                  </a:graphicData>
                </a:graphic>
                <wp14:sizeRelH relativeFrom="margin">
                  <wp14:pctWidth>0</wp14:pctWidth>
                </wp14:sizeRelH>
                <wp14:sizeRelV relativeFrom="margin">
                  <wp14:pctHeight>0</wp14:pctHeight>
                </wp14:sizeRelV>
              </wp:anchor>
            </w:drawing>
          </mc:Choice>
          <mc:Fallback>
            <w:pict>
              <v:group w14:anchorId="75F726F3" id="_x0000_s1044" style="position:absolute;left:0;text-align:left;margin-left:-43.5pt;margin-top:31.5pt;width:507pt;height:301.5pt;z-index:251659264;mso-position-horizontal-relative:margin;mso-width-relative:margin;mso-height-relative:margin" coordsize="58673,34290"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">
                <v:shape id="Hexagon 2" o:spid="_x0000_s1045" type="#_x0000_t9" style="position:absolute;left:18524;top:7295;width:22837;height:20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" adj="4899" fillcolor="window" strokecolor="windowText" strokeweight="1pt">
                  <v:textbox>
                    <w:txbxContent>
                      <w:p w14:paraId="69B9FD35" w14:textId="77777777" w:rsidR="00D90F37" w:rsidRPr="002D7933" w:rsidRDefault="00D90F37" w:rsidP="00CB3C49">
                        <w:pPr>
                          <w:pStyle w:val="NormalWeb"/>
                          <w:spacing w:before="0" w:beforeAutospacing="0" w:after="0" w:afterAutospacing="0"/>
                          <w:jc w:val="center"/>
                        </w:pPr>
                        <w:r w:rsidRPr="00C827B8">
                          <w:rPr>
                            <w:rFonts w:eastAsia="Times New Roman" w:cstheme="minorBidi"/>
                            <w:color w:val="00B050"/>
                            <w:kern w:val="24"/>
                          </w:rPr>
                          <w:t xml:space="preserve">Requirements for Operational Insurance Market for Marine Biodiversity Liability   </w:t>
                        </w:r>
                      </w:p>
                    </w:txbxContent>
                  </v:textbox>
                </v:shape>
                <v:shape id="Diagram 3" o:spid="_x0000_s1046" type="#_x0000_t75" style="position:absolute;left:3777;top:-109;width:50439;height:329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">
                  <v:imagedata r:id="rId21" o:title=""/>
                  <o:lock v:ext="edit" aspectratio="f"/>
                </v:shape>
                <w10:wrap anchorx="margin"/>
              </v:group>
            </w:pict>
          </mc:Fallback>
        </mc:AlternateContent>
      </w:r>
      <w:r w:rsidR="0FE9712B" w:rsidRPr="005918D5">
        <w:rPr>
          <w:iCs/>
          <w:sz w:val="22"/>
        </w:rPr>
        <w:t xml:space="preserve">Figure </w:t>
      </w:r>
      <w:r w:rsidR="00DF4684" w:rsidRPr="005918D5">
        <w:rPr>
          <w:iCs/>
          <w:sz w:val="22"/>
        </w:rPr>
        <w:t>8.</w:t>
      </w:r>
      <w:r w:rsidR="0FE9712B" w:rsidRPr="005918D5">
        <w:rPr>
          <w:iCs/>
          <w:sz w:val="22"/>
        </w:rPr>
        <w:t xml:space="preserve">3: Requirements for Operational Insurance Market for Marine Biodiversity Liability </w:t>
      </w:r>
    </w:p>
    <w:p w14:paraId="11B87779" w14:textId="37B7D892" w:rsidR="00CB3C49" w:rsidRPr="005918D5" w:rsidRDefault="00CB3C49" w:rsidP="00DF4684">
      <w:pPr>
        <w:spacing w:after="120" w:line="360" w:lineRule="auto"/>
        <w:jc w:val="both"/>
        <w:rPr>
          <w:sz w:val="22"/>
        </w:rPr>
      </w:pPr>
    </w:p>
    <w:p w14:paraId="3CF2D8B6" w14:textId="77777777" w:rsidR="007951D2" w:rsidRPr="005918D5" w:rsidRDefault="007951D2" w:rsidP="00DF4684">
      <w:pPr>
        <w:spacing w:after="120" w:line="360" w:lineRule="auto"/>
        <w:jc w:val="both"/>
        <w:rPr>
          <w:sz w:val="22"/>
        </w:rPr>
      </w:pPr>
    </w:p>
    <w:p w14:paraId="4A13444F" w14:textId="77777777" w:rsidR="00CB3C49" w:rsidRPr="005918D5" w:rsidRDefault="00CB3C49" w:rsidP="00DF4684">
      <w:pPr>
        <w:spacing w:after="120" w:line="360" w:lineRule="auto"/>
        <w:jc w:val="both"/>
        <w:rPr>
          <w:sz w:val="22"/>
        </w:rPr>
      </w:pPr>
    </w:p>
    <w:p w14:paraId="3CD58510" w14:textId="77777777" w:rsidR="00CB3C49" w:rsidRPr="005918D5" w:rsidRDefault="00CB3C49" w:rsidP="00DF4684">
      <w:pPr>
        <w:spacing w:after="120" w:line="360" w:lineRule="auto"/>
        <w:jc w:val="both"/>
        <w:rPr>
          <w:sz w:val="22"/>
        </w:rPr>
      </w:pPr>
    </w:p>
    <w:p w14:paraId="5364B969" w14:textId="77777777" w:rsidR="00CB3C49" w:rsidRPr="005918D5" w:rsidRDefault="00CB3C49" w:rsidP="00DF4684">
      <w:pPr>
        <w:spacing w:after="120" w:line="360" w:lineRule="auto"/>
        <w:jc w:val="both"/>
        <w:rPr>
          <w:sz w:val="22"/>
        </w:rPr>
      </w:pPr>
    </w:p>
    <w:p w14:paraId="11542C1A" w14:textId="77777777" w:rsidR="00CB3C49" w:rsidRPr="005918D5" w:rsidRDefault="00CB3C49" w:rsidP="00DF4684">
      <w:pPr>
        <w:spacing w:after="120" w:line="360" w:lineRule="auto"/>
        <w:jc w:val="both"/>
        <w:rPr>
          <w:sz w:val="22"/>
        </w:rPr>
      </w:pPr>
    </w:p>
    <w:p w14:paraId="78EA03F5" w14:textId="77777777" w:rsidR="00CB3C49" w:rsidRPr="005918D5" w:rsidRDefault="00CB3C49" w:rsidP="00DF4684">
      <w:pPr>
        <w:spacing w:after="120" w:line="360" w:lineRule="auto"/>
        <w:jc w:val="both"/>
        <w:rPr>
          <w:sz w:val="22"/>
        </w:rPr>
      </w:pPr>
    </w:p>
    <w:p w14:paraId="4CC06A54" w14:textId="77777777" w:rsidR="00CB3C49" w:rsidRPr="005918D5" w:rsidRDefault="00CB3C49" w:rsidP="00DF4684">
      <w:pPr>
        <w:spacing w:after="120" w:line="360" w:lineRule="auto"/>
        <w:jc w:val="both"/>
        <w:rPr>
          <w:sz w:val="22"/>
        </w:rPr>
      </w:pPr>
    </w:p>
    <w:p w14:paraId="248C195B" w14:textId="77777777" w:rsidR="00CB3C49" w:rsidRPr="005918D5" w:rsidRDefault="00CB3C49" w:rsidP="00DF4684">
      <w:pPr>
        <w:spacing w:after="120" w:line="360" w:lineRule="auto"/>
        <w:jc w:val="both"/>
        <w:rPr>
          <w:sz w:val="22"/>
        </w:rPr>
      </w:pPr>
    </w:p>
    <w:p w14:paraId="0A12F719" w14:textId="77777777" w:rsidR="00DF4684" w:rsidRPr="005918D5" w:rsidRDefault="00DF4684" w:rsidP="00DF4684">
      <w:pPr>
        <w:spacing w:after="120" w:line="360" w:lineRule="auto"/>
        <w:jc w:val="both"/>
        <w:rPr>
          <w:sz w:val="22"/>
          <w:lang w:val="en-CA"/>
        </w:rPr>
      </w:pPr>
    </w:p>
    <w:p w14:paraId="4F35D988" w14:textId="77777777" w:rsidR="00DF4684" w:rsidRPr="005918D5" w:rsidRDefault="00DF4684" w:rsidP="00DF4684">
      <w:pPr>
        <w:spacing w:after="120" w:line="360" w:lineRule="auto"/>
        <w:jc w:val="both"/>
        <w:rPr>
          <w:sz w:val="22"/>
          <w:lang w:val="en-CA"/>
        </w:rPr>
      </w:pPr>
    </w:p>
    <w:p w14:paraId="2F9DE72F" w14:textId="77777777" w:rsidR="00D914B2" w:rsidRDefault="00D914B2" w:rsidP="00DF4684">
      <w:pPr>
        <w:spacing w:after="120" w:line="360" w:lineRule="auto"/>
        <w:jc w:val="both"/>
        <w:rPr>
          <w:sz w:val="22"/>
          <w:lang w:val="en-CA"/>
        </w:rPr>
      </w:pPr>
    </w:p>
    <w:p w14:paraId="3F875746" w14:textId="77777777" w:rsidR="008E5FD8" w:rsidRDefault="008E5FD8" w:rsidP="00DF4684">
      <w:pPr>
        <w:spacing w:after="120" w:line="360" w:lineRule="auto"/>
        <w:jc w:val="both"/>
        <w:rPr>
          <w:sz w:val="22"/>
          <w:lang w:val="en-CA"/>
        </w:rPr>
      </w:pPr>
    </w:p>
    <w:p w14:paraId="200C313E" w14:textId="594ECFD0" w:rsidR="00BD12A6" w:rsidRPr="005918D5" w:rsidRDefault="00BD12A6" w:rsidP="00DF4684">
      <w:pPr>
        <w:spacing w:after="120" w:line="360" w:lineRule="auto"/>
        <w:jc w:val="both"/>
        <w:rPr>
          <w:sz w:val="22"/>
          <w:lang w:val="en-CA"/>
        </w:rPr>
      </w:pPr>
      <w:r w:rsidRPr="005918D5">
        <w:rPr>
          <w:sz w:val="22"/>
          <w:lang w:val="en-CA"/>
        </w:rPr>
        <w:t xml:space="preserve">The scarcity of available historical data from past events, the unique nature of the processes, which may not have historical precedence, and the current generation of mathematical models of marine biological diversity damage make the production and distribution of risk metrics </w:t>
      </w:r>
      <w:r w:rsidRPr="005918D5">
        <w:rPr>
          <w:sz w:val="22"/>
        </w:rPr>
        <w:t xml:space="preserve">a </w:t>
      </w:r>
      <w:r w:rsidR="00ED3A5B" w:rsidRPr="005918D5">
        <w:rPr>
          <w:sz w:val="22"/>
        </w:rPr>
        <w:t>serious</w:t>
      </w:r>
      <w:r w:rsidRPr="005918D5">
        <w:rPr>
          <w:sz w:val="22"/>
        </w:rPr>
        <w:t xml:space="preserve"> challenge</w:t>
      </w:r>
      <w:r w:rsidRPr="005918D5">
        <w:rPr>
          <w:sz w:val="22"/>
          <w:lang w:val="en-CA"/>
        </w:rPr>
        <w:t>. To begin with, the very definition</w:t>
      </w:r>
      <w:r w:rsidR="00414785" w:rsidRPr="005918D5">
        <w:rPr>
          <w:sz w:val="22"/>
          <w:lang w:val="en-CA"/>
        </w:rPr>
        <w:t>s</w:t>
      </w:r>
      <w:r w:rsidRPr="005918D5">
        <w:rPr>
          <w:sz w:val="22"/>
          <w:lang w:val="en-CA"/>
        </w:rPr>
        <w:t xml:space="preserve"> of hazard risk events, responsible operators, protected habitats, and risk exposures</w:t>
      </w:r>
      <w:r w:rsidRPr="005918D5">
        <w:rPr>
          <w:sz w:val="22"/>
        </w:rPr>
        <w:t xml:space="preserve"> </w:t>
      </w:r>
      <w:r w:rsidRPr="005918D5">
        <w:rPr>
          <w:sz w:val="22"/>
          <w:lang w:val="en-CA"/>
        </w:rPr>
        <w:t xml:space="preserve">influence the magnitude of potential losses. The combination of high potential losses with little opportunity for diversification, remediation, or recovery, presents another challenge for all involved in the process. Some case studies are </w:t>
      </w:r>
      <w:r w:rsidRPr="005918D5">
        <w:rPr>
          <w:sz w:val="22"/>
          <w:lang w:val="en-CA"/>
        </w:rPr>
        <w:lastRenderedPageBreak/>
        <w:t xml:space="preserve">available concerning pollution events, but not many are compiled concerning acute and permanent environmental damage. Cost estimates associated with risk mitigation may be constructed around experience gained by the </w:t>
      </w:r>
      <w:r w:rsidR="00F11945" w:rsidRPr="005918D5">
        <w:rPr>
          <w:sz w:val="22"/>
          <w:lang w:val="en-CA"/>
        </w:rPr>
        <w:t>o</w:t>
      </w:r>
      <w:r w:rsidRPr="005918D5">
        <w:rPr>
          <w:sz w:val="22"/>
          <w:lang w:val="en-CA"/>
        </w:rPr>
        <w:t xml:space="preserve">il and </w:t>
      </w:r>
      <w:r w:rsidR="00F11945" w:rsidRPr="005918D5">
        <w:rPr>
          <w:sz w:val="22"/>
          <w:lang w:val="en-CA"/>
        </w:rPr>
        <w:t>g</w:t>
      </w:r>
      <w:r w:rsidRPr="005918D5">
        <w:rPr>
          <w:sz w:val="22"/>
          <w:lang w:val="en-CA"/>
        </w:rPr>
        <w:t>as industry. Case studies exist for scenarios involving</w:t>
      </w:r>
      <w:r w:rsidR="00ED3A5B" w:rsidRPr="005918D5">
        <w:rPr>
          <w:sz w:val="22"/>
        </w:rPr>
        <w:t xml:space="preserve"> </w:t>
      </w:r>
      <w:r w:rsidRPr="005918D5">
        <w:rPr>
          <w:sz w:val="22"/>
        </w:rPr>
        <w:t>produced water</w:t>
      </w:r>
      <w:r w:rsidR="00ED3A5B" w:rsidRPr="005918D5">
        <w:rPr>
          <w:sz w:val="22"/>
        </w:rPr>
        <w:t xml:space="preserve"> </w:t>
      </w:r>
      <w:r w:rsidRPr="005918D5">
        <w:rPr>
          <w:sz w:val="22"/>
        </w:rPr>
        <w:t>i</w:t>
      </w:r>
      <w:r w:rsidRPr="005918D5">
        <w:rPr>
          <w:sz w:val="22"/>
          <w:lang w:val="en-CA"/>
        </w:rPr>
        <w:t>n the North Sea.</w:t>
      </w:r>
    </w:p>
    <w:p w14:paraId="0EC9CD53" w14:textId="77777777" w:rsidR="00BD12A6" w:rsidRPr="005918D5" w:rsidRDefault="00BD12A6" w:rsidP="00DF4684">
      <w:pPr>
        <w:spacing w:after="120" w:line="360" w:lineRule="auto"/>
        <w:jc w:val="both"/>
        <w:rPr>
          <w:sz w:val="22"/>
          <w:lang w:val="en-CA"/>
        </w:rPr>
      </w:pPr>
    </w:p>
    <w:p w14:paraId="6ED6ACA9" w14:textId="62FD906D" w:rsidR="00BD12A6" w:rsidRPr="005918D5" w:rsidRDefault="00BD12A6" w:rsidP="00DF4684">
      <w:pPr>
        <w:spacing w:after="120" w:line="360" w:lineRule="auto"/>
        <w:jc w:val="both"/>
        <w:rPr>
          <w:sz w:val="22"/>
          <w:lang w:val="en-CA"/>
        </w:rPr>
      </w:pPr>
      <w:r w:rsidRPr="005918D5">
        <w:rPr>
          <w:sz w:val="22"/>
          <w:lang w:val="en-CA"/>
        </w:rPr>
        <w:t>Modelled probability of industrial accidents from known existing processes, installations, and materials is more straightforward to estimate due to</w:t>
      </w:r>
      <w:r w:rsidR="00DF0B39" w:rsidRPr="005918D5">
        <w:rPr>
          <w:sz w:val="22"/>
          <w:lang w:val="en-CA"/>
        </w:rPr>
        <w:t xml:space="preserve"> the</w:t>
      </w:r>
      <w:r w:rsidRPr="005918D5">
        <w:rPr>
          <w:sz w:val="22"/>
          <w:lang w:val="en-CA"/>
        </w:rPr>
        <w:t xml:space="preserve"> accumulated knowledge by insurers, actuaries</w:t>
      </w:r>
      <w:r w:rsidR="00F11945" w:rsidRPr="005918D5">
        <w:rPr>
          <w:sz w:val="22"/>
          <w:lang w:val="en-CA"/>
        </w:rPr>
        <w:t>,</w:t>
      </w:r>
      <w:r w:rsidRPr="005918D5">
        <w:rPr>
          <w:sz w:val="22"/>
          <w:lang w:val="en-CA"/>
        </w:rPr>
        <w:t xml:space="preserve"> and the availability of historical statistical data. Comparative and transferable modelling and estimation of probabilistic frequency and severity of bio-diversity hazard events to new industrial processes, new installations, and retrieval of new materials in newly developed geospatial areas </w:t>
      </w:r>
      <w:r w:rsidR="00F11945" w:rsidRPr="005918D5">
        <w:rPr>
          <w:sz w:val="22"/>
          <w:lang w:val="en-CA"/>
        </w:rPr>
        <w:t>are</w:t>
      </w:r>
      <w:r w:rsidRPr="005918D5">
        <w:rPr>
          <w:sz w:val="22"/>
          <w:lang w:val="en-CA"/>
        </w:rPr>
        <w:t xml:space="preserve"> necessary practice</w:t>
      </w:r>
      <w:r w:rsidR="00F11945" w:rsidRPr="005918D5">
        <w:rPr>
          <w:sz w:val="22"/>
          <w:lang w:val="en-CA"/>
        </w:rPr>
        <w:t>s</w:t>
      </w:r>
      <w:r w:rsidRPr="005918D5">
        <w:rPr>
          <w:sz w:val="22"/>
          <w:lang w:val="en-CA"/>
        </w:rPr>
        <w:t xml:space="preserve"> for the academic and insurance industry modeller. Continuously changing legislative requirements and definitions of exposed and protected habitats, thresholds</w:t>
      </w:r>
      <w:r w:rsidR="00F11945" w:rsidRPr="005918D5">
        <w:rPr>
          <w:sz w:val="22"/>
          <w:lang w:val="en-CA"/>
        </w:rPr>
        <w:t>,</w:t>
      </w:r>
      <w:r w:rsidRPr="005918D5">
        <w:rPr>
          <w:sz w:val="22"/>
          <w:lang w:val="en-CA"/>
        </w:rPr>
        <w:t xml:space="preserve"> and boundaries of damage make building coherent, bio-diversity damage model a challenging proposition. Nevertheless,</w:t>
      </w:r>
      <w:r w:rsidRPr="005918D5">
        <w:rPr>
          <w:sz w:val="22"/>
        </w:rPr>
        <w:t xml:space="preserve"> </w:t>
      </w:r>
      <w:r w:rsidRPr="005918D5">
        <w:rPr>
          <w:sz w:val="22"/>
          <w:lang w:val="en-CA"/>
        </w:rPr>
        <w:t xml:space="preserve">regulators, academic institutions, and insurance firms </w:t>
      </w:r>
      <w:r w:rsidR="00F11945" w:rsidRPr="005918D5">
        <w:rPr>
          <w:sz w:val="22"/>
          <w:lang w:val="en-CA"/>
        </w:rPr>
        <w:t xml:space="preserve">are taking actions </w:t>
      </w:r>
      <w:r w:rsidRPr="005918D5">
        <w:rPr>
          <w:sz w:val="22"/>
          <w:lang w:val="en-CA"/>
        </w:rPr>
        <w:t xml:space="preserve">to accumulate data about the severity, </w:t>
      </w:r>
      <w:r w:rsidR="00F11945" w:rsidRPr="005918D5">
        <w:rPr>
          <w:sz w:val="22"/>
          <w:lang w:val="en-CA"/>
        </w:rPr>
        <w:t xml:space="preserve">the </w:t>
      </w:r>
      <w:r w:rsidRPr="005918D5">
        <w:rPr>
          <w:sz w:val="22"/>
          <w:lang w:val="en-CA"/>
        </w:rPr>
        <w:t>scale</w:t>
      </w:r>
      <w:r w:rsidR="00F11945" w:rsidRPr="005918D5">
        <w:rPr>
          <w:sz w:val="22"/>
          <w:lang w:val="en-CA"/>
        </w:rPr>
        <w:t>,</w:t>
      </w:r>
      <w:r w:rsidRPr="005918D5">
        <w:rPr>
          <w:sz w:val="22"/>
          <w:lang w:val="en-CA"/>
        </w:rPr>
        <w:t xml:space="preserve"> and </w:t>
      </w:r>
      <w:r w:rsidR="00F11945" w:rsidRPr="005918D5">
        <w:rPr>
          <w:sz w:val="22"/>
          <w:lang w:val="en-CA"/>
        </w:rPr>
        <w:t xml:space="preserve">the </w:t>
      </w:r>
      <w:r w:rsidRPr="005918D5">
        <w:rPr>
          <w:sz w:val="22"/>
          <w:lang w:val="en-CA"/>
        </w:rPr>
        <w:t xml:space="preserve">estimated economic costs of environmental impact. The same direction of effort is also occurring in gathering data on the impact of already known environmental hazards to human health, soil, water resources, and biodiversity as a measurable benchmark </w:t>
      </w:r>
      <w:r w:rsidR="00F11945" w:rsidRPr="005918D5">
        <w:rPr>
          <w:sz w:val="22"/>
          <w:lang w:val="en-CA"/>
        </w:rPr>
        <w:t>with</w:t>
      </w:r>
      <w:r w:rsidRPr="005918D5">
        <w:rPr>
          <w:sz w:val="22"/>
          <w:lang w:val="en-CA"/>
        </w:rPr>
        <w:t xml:space="preserve"> which we estimate new and unknown damage occurring from prospective industrial </w:t>
      </w:r>
      <w:r w:rsidRPr="005918D5">
        <w:rPr>
          <w:sz w:val="22"/>
        </w:rPr>
        <w:t>activities</w:t>
      </w:r>
      <w:r w:rsidR="00433F27" w:rsidRPr="005918D5">
        <w:rPr>
          <w:sz w:val="22"/>
        </w:rPr>
        <w:t xml:space="preserve">. </w:t>
      </w:r>
      <w:r w:rsidR="00F65E1C" w:rsidRPr="005918D5">
        <w:rPr>
          <w:sz w:val="22"/>
        </w:rPr>
        <w:t>O</w:t>
      </w:r>
      <w:r w:rsidRPr="005918D5">
        <w:rPr>
          <w:sz w:val="22"/>
        </w:rPr>
        <w:t xml:space="preserve">pportunity </w:t>
      </w:r>
      <w:r w:rsidRPr="005918D5">
        <w:rPr>
          <w:sz w:val="22"/>
          <w:lang w:val="en-CA"/>
        </w:rPr>
        <w:t xml:space="preserve">and hope lie </w:t>
      </w:r>
      <w:r w:rsidR="00F65E1C" w:rsidRPr="005918D5">
        <w:rPr>
          <w:sz w:val="22"/>
          <w:lang w:val="en-CA"/>
        </w:rPr>
        <w:t>in the methodologies of inference on processes with minimal information and stochastic nature that</w:t>
      </w:r>
      <w:r w:rsidRPr="005918D5">
        <w:rPr>
          <w:sz w:val="22"/>
          <w:lang w:val="en-CA"/>
        </w:rPr>
        <w:t xml:space="preserve"> mathematical and statistical sciences have developed</w:t>
      </w:r>
      <w:r w:rsidR="00F65E1C" w:rsidRPr="005918D5">
        <w:rPr>
          <w:sz w:val="22"/>
          <w:lang w:val="en-CA"/>
        </w:rPr>
        <w:t>.</w:t>
      </w:r>
    </w:p>
    <w:p w14:paraId="6C5207C4" w14:textId="2A91B5A6" w:rsidR="00BD12A6" w:rsidRPr="005918D5" w:rsidRDefault="00BD12A6" w:rsidP="00DF4684">
      <w:pPr>
        <w:spacing w:after="120" w:line="360" w:lineRule="auto"/>
        <w:jc w:val="both"/>
        <w:rPr>
          <w:sz w:val="22"/>
        </w:rPr>
      </w:pPr>
      <w:r w:rsidRPr="005918D5">
        <w:rPr>
          <w:sz w:val="22"/>
        </w:rPr>
        <w:t xml:space="preserve">Measuring the likelihood of outcomes of hazard events following damage and economic and social losses becomes a critical factor in determining if environmental and biodiversity assets are insurable. Inevitably for some market practitioners, the notion of damage to biodiversity will be considered vague and hence not suitable for insurance coverage. However, measurable monetary metrics of the cost of remediation, opportunity and economic costs, and the costs associated with having operating licenses withdrawn may prove more practical to be translated to liability and insurance policy coverage. All such insurance markets’ growth depends on the development of coherent methodologies for accurate monetary and legal estimation of such costs. </w:t>
      </w:r>
    </w:p>
    <w:p w14:paraId="0FB78278" w14:textId="0C8E5C52" w:rsidR="00062331" w:rsidRPr="005918D5" w:rsidRDefault="00BD12A6" w:rsidP="00DF4684">
      <w:pPr>
        <w:spacing w:after="120" w:line="360" w:lineRule="auto"/>
        <w:jc w:val="both"/>
        <w:rPr>
          <w:sz w:val="22"/>
        </w:rPr>
      </w:pPr>
      <w:r w:rsidRPr="005918D5">
        <w:rPr>
          <w:sz w:val="22"/>
        </w:rPr>
        <w:t xml:space="preserve">From the perspective of an insurance industry firm, the fundamental insurability of environmental and biodiversity liability must be legislated and justified by market dynamics. Along with the multiple challenges presented above, there are still positive developments in both the legislative and market climates that support the process of developing such insurance products and instruments. Faure and Grimeaud (2010) observe at least three positive </w:t>
      </w:r>
      <w:r w:rsidRPr="005918D5">
        <w:rPr>
          <w:sz w:val="22"/>
        </w:rPr>
        <w:lastRenderedPageBreak/>
        <w:t>developments in the legislative environments that would encourage market developments. The authors argue that</w:t>
      </w:r>
      <w:r w:rsidR="005F52A1" w:rsidRPr="005918D5">
        <w:rPr>
          <w:sz w:val="22"/>
        </w:rPr>
        <w:t>, firstly,</w:t>
      </w:r>
      <w:r w:rsidRPr="005918D5">
        <w:rPr>
          <w:sz w:val="22"/>
        </w:rPr>
        <w:t xml:space="preserve"> the Environmental Liability Directive (ELD 2007) does not impose a general strict liability rule for any environmental harm but has a balanced approach to limit strict liability to specific types of activities and geographical areas that are considered hazardous. Secondly, the directive establishes that the new environmental and biodiversity regime</w:t>
      </w:r>
      <w:r w:rsidR="00F65E1C" w:rsidRPr="005918D5">
        <w:rPr>
          <w:sz w:val="22"/>
        </w:rPr>
        <w:t>s</w:t>
      </w:r>
      <w:r w:rsidRPr="005918D5">
        <w:rPr>
          <w:sz w:val="22"/>
        </w:rPr>
        <w:t xml:space="preserve"> should not be retroactive. Thirdly</w:t>
      </w:r>
      <w:r w:rsidR="00F65E1C" w:rsidRPr="005918D5">
        <w:rPr>
          <w:sz w:val="22"/>
        </w:rPr>
        <w:t>,</w:t>
      </w:r>
      <w:r w:rsidRPr="005918D5">
        <w:rPr>
          <w:sz w:val="22"/>
        </w:rPr>
        <w:t xml:space="preserve"> several defences are available to operators of which the most notable is</w:t>
      </w:r>
      <w:r w:rsidR="00ED3A5B" w:rsidRPr="005918D5">
        <w:rPr>
          <w:sz w:val="22"/>
        </w:rPr>
        <w:t xml:space="preserve"> </w:t>
      </w:r>
      <w:r w:rsidRPr="005918D5">
        <w:rPr>
          <w:sz w:val="22"/>
        </w:rPr>
        <w:t>force majeure. The same authors advocate that additional defence should be included in the regime in order to improve its predictability and addictiveness to insurers. </w:t>
      </w:r>
    </w:p>
    <w:p w14:paraId="163B713A" w14:textId="77777777" w:rsidR="00062331" w:rsidRPr="005918D5" w:rsidRDefault="00D33D18" w:rsidP="00DF4684">
      <w:pPr>
        <w:pStyle w:val="Heading1"/>
        <w:spacing w:after="120" w:line="360" w:lineRule="auto"/>
        <w:rPr>
          <w:i w:val="0"/>
          <w:iCs w:val="0"/>
          <w:szCs w:val="28"/>
        </w:rPr>
      </w:pPr>
      <w:r w:rsidRPr="005918D5">
        <w:rPr>
          <w:i w:val="0"/>
          <w:iCs w:val="0"/>
          <w:szCs w:val="28"/>
        </w:rPr>
        <w:t xml:space="preserve">5.0 </w:t>
      </w:r>
      <w:r w:rsidR="00062331" w:rsidRPr="005918D5">
        <w:rPr>
          <w:i w:val="0"/>
          <w:iCs w:val="0"/>
          <w:szCs w:val="28"/>
        </w:rPr>
        <w:t>Fi</w:t>
      </w:r>
      <w:r w:rsidR="001C7F78" w:rsidRPr="005918D5">
        <w:rPr>
          <w:i w:val="0"/>
          <w:iCs w:val="0"/>
          <w:szCs w:val="28"/>
        </w:rPr>
        <w:t xml:space="preserve">nancial Insurance and Security and </w:t>
      </w:r>
      <w:r w:rsidR="00062331" w:rsidRPr="005918D5">
        <w:rPr>
          <w:i w:val="0"/>
          <w:iCs w:val="0"/>
          <w:szCs w:val="28"/>
        </w:rPr>
        <w:t>Cost of Infraction</w:t>
      </w:r>
    </w:p>
    <w:p w14:paraId="4BCBCEFA" w14:textId="040BCF12" w:rsidR="00BD12A6" w:rsidRPr="005918D5" w:rsidRDefault="00BD12A6" w:rsidP="00DF4684">
      <w:pPr>
        <w:spacing w:after="120" w:line="360" w:lineRule="auto"/>
        <w:jc w:val="both"/>
        <w:rPr>
          <w:sz w:val="22"/>
        </w:rPr>
      </w:pPr>
      <w:r w:rsidRPr="005918D5">
        <w:rPr>
          <w:sz w:val="22"/>
        </w:rPr>
        <w:t xml:space="preserve">A range of costs arises </w:t>
      </w:r>
      <w:r w:rsidR="005F52A1" w:rsidRPr="005918D5">
        <w:rPr>
          <w:sz w:val="22"/>
        </w:rPr>
        <w:t>for</w:t>
      </w:r>
      <w:r w:rsidRPr="005918D5">
        <w:rPr>
          <w:sz w:val="22"/>
        </w:rPr>
        <w:t xml:space="preserve"> operators practising in the regulatory and legislative framework of the environmental liability and marine strategy directives of 2007 and 2008. Decontamination and restoration of environmental habitat and species after incurred damage constitutes a significant ‘remediation cost’. In the case of water, marine habitat</w:t>
      </w:r>
      <w:r w:rsidR="005F52A1" w:rsidRPr="005918D5">
        <w:rPr>
          <w:sz w:val="22"/>
        </w:rPr>
        <w:t>,</w:t>
      </w:r>
      <w:r w:rsidRPr="005918D5">
        <w:rPr>
          <w:sz w:val="22"/>
        </w:rPr>
        <w:t xml:space="preserve"> and species</w:t>
      </w:r>
      <w:r w:rsidR="005F52A1" w:rsidRPr="005918D5">
        <w:rPr>
          <w:sz w:val="22"/>
        </w:rPr>
        <w:t>,</w:t>
      </w:r>
      <w:r w:rsidRPr="005918D5">
        <w:rPr>
          <w:sz w:val="22"/>
        </w:rPr>
        <w:t xml:space="preserve"> ‘the directive’ classifies remediation costs into</w:t>
      </w:r>
      <w:r w:rsidR="005F52A1" w:rsidRPr="005918D5">
        <w:rPr>
          <w:sz w:val="22"/>
        </w:rPr>
        <w:t xml:space="preserve"> (1)</w:t>
      </w:r>
      <w:r w:rsidR="00ED3A5B" w:rsidRPr="005918D5">
        <w:rPr>
          <w:sz w:val="22"/>
        </w:rPr>
        <w:t xml:space="preserve"> </w:t>
      </w:r>
      <w:r w:rsidRPr="005918D5">
        <w:rPr>
          <w:sz w:val="22"/>
        </w:rPr>
        <w:t>primary: returning natural resources towards baseline;</w:t>
      </w:r>
      <w:r w:rsidR="00ED3A5B" w:rsidRPr="005918D5">
        <w:rPr>
          <w:sz w:val="22"/>
        </w:rPr>
        <w:t xml:space="preserve"> </w:t>
      </w:r>
      <w:r w:rsidR="005F52A1" w:rsidRPr="005918D5">
        <w:rPr>
          <w:sz w:val="22"/>
        </w:rPr>
        <w:t xml:space="preserve">(2) </w:t>
      </w:r>
      <w:r w:rsidRPr="005918D5">
        <w:rPr>
          <w:sz w:val="22"/>
        </w:rPr>
        <w:t>complementary: compensation for any deficit from baseline, and</w:t>
      </w:r>
      <w:r w:rsidR="00ED3A5B" w:rsidRPr="005918D5">
        <w:rPr>
          <w:sz w:val="22"/>
        </w:rPr>
        <w:t xml:space="preserve"> </w:t>
      </w:r>
      <w:r w:rsidR="005F52A1" w:rsidRPr="005918D5">
        <w:rPr>
          <w:sz w:val="22"/>
        </w:rPr>
        <w:t xml:space="preserve">(3) </w:t>
      </w:r>
      <w:r w:rsidRPr="005918D5">
        <w:rPr>
          <w:sz w:val="22"/>
        </w:rPr>
        <w:t xml:space="preserve">compensatory: </w:t>
      </w:r>
      <w:r w:rsidR="00DF0B39" w:rsidRPr="005918D5">
        <w:rPr>
          <w:sz w:val="22"/>
        </w:rPr>
        <w:t>compensation</w:t>
      </w:r>
      <w:r w:rsidRPr="005918D5">
        <w:rPr>
          <w:sz w:val="22"/>
        </w:rPr>
        <w:t xml:space="preserve"> for interim loss until primary remediation has taken place. The assessment of the baseline condition of the bio-environmental asset becomes of primary importance; here, all available scientific, technical data, and measurements are used. Subjecting the baseline condition to a time discounting function is also necessary</w:t>
      </w:r>
      <w:r w:rsidR="005F52A1" w:rsidRPr="005918D5">
        <w:rPr>
          <w:sz w:val="22"/>
        </w:rPr>
        <w:t>,</w:t>
      </w:r>
      <w:r w:rsidRPr="005918D5">
        <w:rPr>
          <w:sz w:val="22"/>
        </w:rPr>
        <w:t xml:space="preserve"> as this provides the estimated time progression condition of the assets as if a hazardous impact has not occurred. The employment of best measures, information</w:t>
      </w:r>
      <w:r w:rsidR="005F52A1" w:rsidRPr="005918D5">
        <w:rPr>
          <w:sz w:val="22"/>
        </w:rPr>
        <w:t>,</w:t>
      </w:r>
      <w:r w:rsidRPr="005918D5">
        <w:rPr>
          <w:sz w:val="22"/>
        </w:rPr>
        <w:t xml:space="preserve"> and scientific practices in this process is critical. The EU Habitats Directive and Water Framework directive are valuable information sources for this estimation. </w:t>
      </w:r>
    </w:p>
    <w:p w14:paraId="2327F74B" w14:textId="73B1605E" w:rsidR="00BD12A6" w:rsidRPr="005918D5" w:rsidRDefault="00BD12A6" w:rsidP="00DF4684">
      <w:pPr>
        <w:spacing w:after="120" w:line="360" w:lineRule="auto"/>
        <w:jc w:val="both"/>
        <w:rPr>
          <w:sz w:val="22"/>
        </w:rPr>
      </w:pPr>
      <w:r w:rsidRPr="005918D5">
        <w:rPr>
          <w:sz w:val="22"/>
        </w:rPr>
        <w:t>Significant environmental catastrophe events such as the Bouches-du-Rhone oil spill of August 2009, the Hungarian toxic sludge spill of October 2010, and the Deepwater Horizon in April of the same year, invariably and expectedly had impact</w:t>
      </w:r>
      <w:r w:rsidR="005F52A1" w:rsidRPr="005918D5">
        <w:rPr>
          <w:sz w:val="22"/>
        </w:rPr>
        <w:t>s</w:t>
      </w:r>
      <w:r w:rsidRPr="005918D5">
        <w:rPr>
          <w:sz w:val="22"/>
        </w:rPr>
        <w:t xml:space="preserve"> upon the European civil service thinking. The Commission encourages and continues to consider a wider compulsory environmental liability framework for all member states. The current Environmental Liability Directive does not require any financial security or insurance purchase against </w:t>
      </w:r>
      <w:r w:rsidR="00DF0B39" w:rsidRPr="005918D5">
        <w:rPr>
          <w:sz w:val="22"/>
        </w:rPr>
        <w:t xml:space="preserve">the </w:t>
      </w:r>
      <w:r w:rsidRPr="005918D5">
        <w:rPr>
          <w:sz w:val="22"/>
        </w:rPr>
        <w:t>deterioration of bio-environmental diversity and assets from established and measured existing conditions. It does however encourage such developments by national and local governing bodies and market insurers. Local financial security requirements have already been introduced in some countries. Such requirements can be satisfied with the purchase of insurance, bonds, bank guarantees, and other instruments. The traditional insurance and re-insurance European markets and instruments cover basic liabilities resulting from property damage and physical harm</w:t>
      </w:r>
      <w:r w:rsidR="005F52A1" w:rsidRPr="005918D5">
        <w:rPr>
          <w:sz w:val="22"/>
        </w:rPr>
        <w:t>, which result</w:t>
      </w:r>
      <w:r w:rsidRPr="005918D5">
        <w:rPr>
          <w:sz w:val="22"/>
        </w:rPr>
        <w:t xml:space="preserve"> from pollution and environmental damage by third parties. With the increased importance </w:t>
      </w:r>
      <w:r w:rsidRPr="005918D5">
        <w:rPr>
          <w:sz w:val="22"/>
        </w:rPr>
        <w:lastRenderedPageBreak/>
        <w:t>of the ELD, the risk and liability exposure of many commercial and industrial operators will not be covered by the existing general liability or environmental liability insurance policies. First of all, operators and local governments are in the process of reviewing and quantifying liability concepts such as ‘significant damage’ to environmental assets and bio-diversity and ‘imminent threat’. In parallel, the leading insurance firms have begun to develop local and global insurance products for public law claims on biodiversity deterioration and damage.</w:t>
      </w:r>
    </w:p>
    <w:p w14:paraId="01DFBDFF" w14:textId="0AAB629D" w:rsidR="00BD12A6" w:rsidRPr="005918D5" w:rsidRDefault="00BD12A6" w:rsidP="00DF4684">
      <w:pPr>
        <w:spacing w:after="120" w:line="360" w:lineRule="auto"/>
        <w:jc w:val="both"/>
        <w:rPr>
          <w:sz w:val="22"/>
        </w:rPr>
      </w:pPr>
      <w:r w:rsidRPr="005918D5">
        <w:rPr>
          <w:sz w:val="22"/>
        </w:rPr>
        <w:t>Further refinement and customization of insurance coverage policy details and instruments allow firms with low capital funds to obtain protection against the cost of significant environmental damage and to provide protection against insolvency. With flexible and customizable insurance coverage available on the market, large energy, transportation, and other strategic corporations will not have the incentives to transfer high-risk hazardous operations to smaller</w:t>
      </w:r>
      <w:r w:rsidR="0016097C" w:rsidRPr="005918D5">
        <w:rPr>
          <w:sz w:val="22"/>
        </w:rPr>
        <w:t>,</w:t>
      </w:r>
      <w:r w:rsidRPr="005918D5">
        <w:rPr>
          <w:sz w:val="22"/>
        </w:rPr>
        <w:t xml:space="preserve"> marginally capitalized firms to avoid the responsibility and cost of environmental liability. However, the growth of environmental liability and biodiversity damage insurance markets is in its very early stages of development. There is still a very low level of sophistication in markets and products, especially in the area of remediation and restoration of environmental damage. Notably lacking are techniques to evaluate the cost of restoration, ecological damage, and biodiversity damage; as well as the cost of pure economic loss. Working papers from the EU Commission and large insurers support the notion that in more than half of the EU member states there is no mature liability market at all and in only two-thirds of the countries, there is liability coverage for property damage and bodily injury as a result of industrial environmental accidents. At the level of global insurance markets, the availability of such standard instruments is even lower. </w:t>
      </w:r>
    </w:p>
    <w:p w14:paraId="24C76042" w14:textId="50857067" w:rsidR="00901E56" w:rsidRPr="005918D5" w:rsidRDefault="00901E56" w:rsidP="00DF4684">
      <w:pPr>
        <w:spacing w:after="120" w:line="360" w:lineRule="auto"/>
        <w:jc w:val="both"/>
        <w:rPr>
          <w:sz w:val="22"/>
        </w:rPr>
      </w:pPr>
      <w:r w:rsidRPr="005918D5">
        <w:rPr>
          <w:sz w:val="22"/>
        </w:rPr>
        <w:t xml:space="preserve">Practice in some countries shows that solutions are sustainable and available. The case of Spain is a valid example. The Spanish environmental ministry has extended the coverage of ‘the directive’ (ELD 2007), which is limited to protected areas and species, </w:t>
      </w:r>
      <w:r w:rsidR="0016097C" w:rsidRPr="005918D5">
        <w:rPr>
          <w:sz w:val="22"/>
        </w:rPr>
        <w:t>equal to 14% of the territory of Spain</w:t>
      </w:r>
      <w:r w:rsidRPr="005918D5">
        <w:rPr>
          <w:sz w:val="22"/>
        </w:rPr>
        <w:t xml:space="preserve">, to full coverage of the territory. In the area of financial security, Spain proposes a mandatory system as it would create the necessary incentives and pressure for operators to adopt more cautious practices and preventive rules. The financial security scheme established that if the economic operator should carry the potential to cause more than €2 million of damages, it must purchase an insurance policy or provide financial guarantees such as a bank or independent fund guarantees. For damages between €300,000€ and €2 million, operators must provide financial guarantees or join the EU Eco-Management and Audit Scheme. Similar legislation from the Czech environmental ministry establishes a mandatory financial security system for operators in the form of insurance or re-insurance policies or bank guarantees. France has strengthened its ‘environmental liability insurance framework’ known as CARE and established an insurance pool, known as Assurpol. The French experience shows </w:t>
      </w:r>
      <w:r w:rsidRPr="005918D5">
        <w:rPr>
          <w:sz w:val="22"/>
        </w:rPr>
        <w:lastRenderedPageBreak/>
        <w:t>that having more insurance firms involved in the environmental liability market, accompanied by strong policies of information sharing and public awareness of environmental and biodiversity hazards</w:t>
      </w:r>
      <w:r w:rsidR="0016097C" w:rsidRPr="005918D5">
        <w:rPr>
          <w:sz w:val="22"/>
        </w:rPr>
        <w:t>,</w:t>
      </w:r>
      <w:r w:rsidRPr="005918D5">
        <w:rPr>
          <w:sz w:val="22"/>
        </w:rPr>
        <w:t xml:space="preserve"> has had a very positive effect on lower and competitive premiums, and increased insurance coverage penetration. </w:t>
      </w:r>
    </w:p>
    <w:p w14:paraId="1FC39945" w14:textId="5AD0E1B0" w:rsidR="00ED3A5B" w:rsidRPr="005918D5" w:rsidRDefault="00901E56" w:rsidP="00DF4684">
      <w:pPr>
        <w:spacing w:after="120" w:line="360" w:lineRule="auto"/>
        <w:jc w:val="both"/>
        <w:rPr>
          <w:sz w:val="22"/>
        </w:rPr>
      </w:pPr>
      <w:r w:rsidRPr="005918D5">
        <w:rPr>
          <w:sz w:val="22"/>
        </w:rPr>
        <w:t xml:space="preserve">Nonetheless, these approaches are not replicated across all member states. There is often an implicit need for insurance coverage when it is not traditional for national or local legislation to specify how a company should protect itself from financial risks. Uneven and unequal interpretation and implementation may discourage market participants. Still, understanding the mechanics of the EU environmental liability legislative process and its implementation in different </w:t>
      </w:r>
      <w:r w:rsidR="00310BCE" w:rsidRPr="005918D5">
        <w:rPr>
          <w:sz w:val="22"/>
        </w:rPr>
        <w:t>m</w:t>
      </w:r>
      <w:r w:rsidRPr="005918D5">
        <w:rPr>
          <w:sz w:val="22"/>
        </w:rPr>
        <w:t xml:space="preserve">ember </w:t>
      </w:r>
      <w:r w:rsidR="00310BCE" w:rsidRPr="005918D5">
        <w:rPr>
          <w:sz w:val="22"/>
        </w:rPr>
        <w:t>s</w:t>
      </w:r>
      <w:r w:rsidRPr="005918D5">
        <w:rPr>
          <w:sz w:val="22"/>
        </w:rPr>
        <w:t>tates will help the insurance policy providers to work towards a well-functioning market.</w:t>
      </w:r>
    </w:p>
    <w:p w14:paraId="1D0F93AA" w14:textId="77777777" w:rsidR="00ED3A5B" w:rsidRPr="005918D5" w:rsidRDefault="00D33D18" w:rsidP="00DF4684">
      <w:pPr>
        <w:spacing w:after="120" w:line="360" w:lineRule="auto"/>
        <w:jc w:val="both"/>
        <w:rPr>
          <w:szCs w:val="28"/>
        </w:rPr>
      </w:pPr>
      <w:r w:rsidRPr="005918D5">
        <w:rPr>
          <w:szCs w:val="28"/>
        </w:rPr>
        <w:t xml:space="preserve">6.0 </w:t>
      </w:r>
      <w:r w:rsidR="00EB2E6C" w:rsidRPr="005918D5">
        <w:rPr>
          <w:szCs w:val="28"/>
        </w:rPr>
        <w:t xml:space="preserve">Quantitative </w:t>
      </w:r>
      <w:r w:rsidR="009B24A7" w:rsidRPr="005918D5">
        <w:rPr>
          <w:szCs w:val="28"/>
        </w:rPr>
        <w:t xml:space="preserve">Modelling </w:t>
      </w:r>
      <w:r w:rsidR="001472B0" w:rsidRPr="005918D5">
        <w:rPr>
          <w:szCs w:val="28"/>
        </w:rPr>
        <w:t>A</w:t>
      </w:r>
      <w:r w:rsidR="00ED3A5B" w:rsidRPr="005918D5">
        <w:rPr>
          <w:szCs w:val="28"/>
        </w:rPr>
        <w:t>pproach</w:t>
      </w:r>
    </w:p>
    <w:p w14:paraId="1E459A78" w14:textId="444C5E05" w:rsidR="00901E56" w:rsidRPr="005918D5" w:rsidRDefault="00901E56" w:rsidP="00DF4684">
      <w:pPr>
        <w:spacing w:after="120" w:line="360" w:lineRule="auto"/>
        <w:jc w:val="both"/>
        <w:rPr>
          <w:sz w:val="22"/>
        </w:rPr>
      </w:pPr>
      <w:r w:rsidRPr="005918D5">
        <w:rPr>
          <w:sz w:val="22"/>
        </w:rPr>
        <w:t>Designing a quantitative risk model to estimate both damages to environmental assets and biodiversity needs to meet several challenges and requirements. The first of these is to trans</w:t>
      </w:r>
      <w:r w:rsidR="00D62C7E" w:rsidRPr="005918D5">
        <w:rPr>
          <w:sz w:val="22"/>
        </w:rPr>
        <w:t>fer</w:t>
      </w:r>
      <w:r w:rsidRPr="005918D5">
        <w:rPr>
          <w:sz w:val="22"/>
        </w:rPr>
        <w:t xml:space="preserve"> concepts established within traditional qualitative risk assessment, typically involving some form of conjugation of the likelihood of exposure and the severity of the response, to a quantitative framework. In order to develop a quantitative model of that nature, the risks to the reduction in biodiversity need to be deemed </w:t>
      </w:r>
      <w:r w:rsidR="00937BBF" w:rsidRPr="005918D5">
        <w:rPr>
          <w:sz w:val="22"/>
        </w:rPr>
        <w:t>as having</w:t>
      </w:r>
      <w:r w:rsidRPr="005918D5">
        <w:rPr>
          <w:sz w:val="22"/>
        </w:rPr>
        <w:t xml:space="preserve"> a sufficiently probabilistic character. This conclusion involves multiple measuring, modelling and statistical algorithmic stages. A typical marine environment risk model</w:t>
      </w:r>
      <w:r w:rsidR="00D62C7E" w:rsidRPr="005918D5">
        <w:rPr>
          <w:sz w:val="22"/>
        </w:rPr>
        <w:t>,</w:t>
      </w:r>
      <w:r w:rsidRPr="005918D5">
        <w:rPr>
          <w:sz w:val="22"/>
        </w:rPr>
        <w:t xml:space="preserve"> described and recommended by Smith C.J. et al</w:t>
      </w:r>
      <w:r w:rsidR="00D62C7E" w:rsidRPr="005918D5">
        <w:rPr>
          <w:sz w:val="22"/>
        </w:rPr>
        <w:t>.</w:t>
      </w:r>
      <w:r w:rsidRPr="005918D5">
        <w:rPr>
          <w:sz w:val="22"/>
        </w:rPr>
        <w:t xml:space="preserve"> (2016)</w:t>
      </w:r>
      <w:r w:rsidR="00D62C7E" w:rsidRPr="005918D5">
        <w:rPr>
          <w:sz w:val="22"/>
        </w:rPr>
        <w:t>,</w:t>
      </w:r>
      <w:r w:rsidRPr="005918D5">
        <w:rPr>
          <w:sz w:val="22"/>
        </w:rPr>
        <w:t xml:space="preserve"> involves numerical components which model the present state of variables of the marine habitat</w:t>
      </w:r>
      <w:r w:rsidR="00D62C7E" w:rsidRPr="005918D5">
        <w:rPr>
          <w:sz w:val="22"/>
        </w:rPr>
        <w:t>:</w:t>
      </w:r>
      <w:r w:rsidRPr="005918D5">
        <w:rPr>
          <w:sz w:val="22"/>
        </w:rPr>
        <w:t xml:space="preserve"> pressures and drivers of degrad</w:t>
      </w:r>
      <w:r w:rsidR="00D62C7E" w:rsidRPr="005918D5">
        <w:rPr>
          <w:sz w:val="22"/>
        </w:rPr>
        <w:t>ation</w:t>
      </w:r>
      <w:r w:rsidRPr="005918D5">
        <w:rPr>
          <w:sz w:val="22"/>
        </w:rPr>
        <w:t xml:space="preserve"> change upon these measurable variables</w:t>
      </w:r>
      <w:r w:rsidR="00D62C7E" w:rsidRPr="005918D5">
        <w:rPr>
          <w:sz w:val="22"/>
        </w:rPr>
        <w:t>,</w:t>
      </w:r>
      <w:r w:rsidRPr="005918D5">
        <w:rPr>
          <w:sz w:val="22"/>
        </w:rPr>
        <w:t xml:space="preserve"> and a measurable output </w:t>
      </w:r>
      <w:r w:rsidR="00D62C7E" w:rsidRPr="005918D5">
        <w:rPr>
          <w:sz w:val="22"/>
        </w:rPr>
        <w:t>defining</w:t>
      </w:r>
      <w:r w:rsidRPr="005918D5">
        <w:rPr>
          <w:sz w:val="22"/>
        </w:rPr>
        <w:t xml:space="preserve"> impacts and quantitative </w:t>
      </w:r>
      <w:r w:rsidR="00D62C7E" w:rsidRPr="005918D5">
        <w:rPr>
          <w:sz w:val="22"/>
        </w:rPr>
        <w:t xml:space="preserve">data </w:t>
      </w:r>
      <w:r w:rsidRPr="005918D5">
        <w:rPr>
          <w:sz w:val="22"/>
        </w:rPr>
        <w:t>changes to the initial state of marine and biodiversity metrics. Particularly</w:t>
      </w:r>
      <w:r w:rsidR="00D62C7E" w:rsidRPr="005918D5">
        <w:rPr>
          <w:sz w:val="22"/>
        </w:rPr>
        <w:t>,</w:t>
      </w:r>
      <w:r w:rsidRPr="005918D5">
        <w:rPr>
          <w:sz w:val="22"/>
        </w:rPr>
        <w:t xml:space="preserve"> </w:t>
      </w:r>
      <w:r w:rsidR="00D62C7E" w:rsidRPr="005918D5">
        <w:rPr>
          <w:sz w:val="22"/>
        </w:rPr>
        <w:t xml:space="preserve">the </w:t>
      </w:r>
      <w:r w:rsidRPr="005918D5">
        <w:rPr>
          <w:sz w:val="22"/>
        </w:rPr>
        <w:t>driver for baseline change and impact metrics in such models is entirely desirable to be anchored with the definitions of the MFSD (2008). Thus</w:t>
      </w:r>
      <w:r w:rsidR="00D62C7E" w:rsidRPr="005918D5">
        <w:rPr>
          <w:sz w:val="22"/>
        </w:rPr>
        <w:t>,</w:t>
      </w:r>
      <w:r w:rsidRPr="005918D5">
        <w:rPr>
          <w:sz w:val="22"/>
        </w:rPr>
        <w:t xml:space="preserve"> existing commercial, industrial, and social activities within the marine domain need to be converted to measurable and modelled hazard drivers of impact upon the baseline variables of biodiversity status. Long</w:t>
      </w:r>
      <w:r w:rsidR="00937BBF" w:rsidRPr="005918D5">
        <w:rPr>
          <w:sz w:val="22"/>
        </w:rPr>
        <w:t>-</w:t>
      </w:r>
      <w:r w:rsidRPr="005918D5">
        <w:rPr>
          <w:sz w:val="22"/>
        </w:rPr>
        <w:t xml:space="preserve">term and good quality </w:t>
      </w:r>
      <w:r w:rsidR="00D62C7E" w:rsidRPr="005918D5">
        <w:rPr>
          <w:sz w:val="22"/>
        </w:rPr>
        <w:t>geospatial</w:t>
      </w:r>
      <w:r w:rsidRPr="005918D5">
        <w:rPr>
          <w:sz w:val="22"/>
        </w:rPr>
        <w:t xml:space="preserve"> data set in this context are invaluable in the determination of both baseline status of environmental and biodiversity metrics and of the definition of their degradation through the workings of drivers of human economic and social activity nature.</w:t>
      </w:r>
    </w:p>
    <w:p w14:paraId="0B969412" w14:textId="77777777" w:rsidR="00D914B2" w:rsidRDefault="00D914B2" w:rsidP="00DF4684">
      <w:pPr>
        <w:spacing w:after="120" w:line="360" w:lineRule="auto"/>
        <w:rPr>
          <w:sz w:val="22"/>
        </w:rPr>
      </w:pPr>
    </w:p>
    <w:p w14:paraId="21B5EED6" w14:textId="77777777" w:rsidR="00D914B2" w:rsidRDefault="00D914B2" w:rsidP="00DF4684">
      <w:pPr>
        <w:spacing w:after="120" w:line="360" w:lineRule="auto"/>
        <w:rPr>
          <w:sz w:val="22"/>
        </w:rPr>
      </w:pPr>
    </w:p>
    <w:p w14:paraId="5331DF42" w14:textId="77777777" w:rsidR="00D914B2" w:rsidRDefault="00D914B2" w:rsidP="00DF4684">
      <w:pPr>
        <w:spacing w:after="120" w:line="360" w:lineRule="auto"/>
        <w:rPr>
          <w:sz w:val="22"/>
        </w:rPr>
      </w:pPr>
    </w:p>
    <w:p w14:paraId="2748E6FD" w14:textId="77777777" w:rsidR="00D914B2" w:rsidRDefault="00D914B2" w:rsidP="00DF4684">
      <w:pPr>
        <w:spacing w:after="120" w:line="360" w:lineRule="auto"/>
        <w:rPr>
          <w:sz w:val="22"/>
        </w:rPr>
      </w:pPr>
    </w:p>
    <w:p w14:paraId="40CD7192" w14:textId="77777777" w:rsidR="00D914B2" w:rsidRDefault="00D914B2" w:rsidP="00DF4684">
      <w:pPr>
        <w:spacing w:after="120" w:line="360" w:lineRule="auto"/>
        <w:rPr>
          <w:sz w:val="22"/>
        </w:rPr>
      </w:pPr>
    </w:p>
    <w:p w14:paraId="08B6750C" w14:textId="77777777" w:rsidR="00D914B2" w:rsidRDefault="00D914B2" w:rsidP="00DF4684">
      <w:pPr>
        <w:spacing w:after="120" w:line="360" w:lineRule="auto"/>
        <w:rPr>
          <w:sz w:val="22"/>
        </w:rPr>
      </w:pPr>
    </w:p>
    <w:p w14:paraId="4913235E" w14:textId="77777777" w:rsidR="00D914B2" w:rsidRDefault="00D914B2" w:rsidP="00DF4684">
      <w:pPr>
        <w:spacing w:after="120" w:line="360" w:lineRule="auto"/>
        <w:rPr>
          <w:sz w:val="22"/>
        </w:rPr>
      </w:pPr>
    </w:p>
    <w:p w14:paraId="4BA6DE1C" w14:textId="77777777" w:rsidR="00D914B2" w:rsidRDefault="00D914B2" w:rsidP="00DF4684">
      <w:pPr>
        <w:spacing w:after="120" w:line="360" w:lineRule="auto"/>
        <w:rPr>
          <w:sz w:val="22"/>
        </w:rPr>
      </w:pPr>
    </w:p>
    <w:p w14:paraId="07630F70" w14:textId="77777777" w:rsidR="00D914B2" w:rsidRDefault="00D914B2" w:rsidP="00DF4684">
      <w:pPr>
        <w:spacing w:after="120" w:line="360" w:lineRule="auto"/>
        <w:rPr>
          <w:sz w:val="22"/>
        </w:rPr>
      </w:pPr>
    </w:p>
    <w:p w14:paraId="403167D8" w14:textId="70585288" w:rsidR="00ED3A5B" w:rsidRPr="005918D5" w:rsidRDefault="00193A01" w:rsidP="00DF4684">
      <w:pPr>
        <w:spacing w:after="120" w:line="360" w:lineRule="auto"/>
        <w:rPr>
          <w:sz w:val="22"/>
        </w:rPr>
      </w:pPr>
      <w:r w:rsidRPr="005918D5">
        <w:rPr>
          <w:sz w:val="22"/>
        </w:rPr>
        <w:t xml:space="preserve">Figure </w:t>
      </w:r>
      <w:r w:rsidR="00DF4684" w:rsidRPr="005918D5">
        <w:rPr>
          <w:sz w:val="22"/>
        </w:rPr>
        <w:t>8.</w:t>
      </w:r>
      <w:r w:rsidRPr="005918D5">
        <w:rPr>
          <w:sz w:val="22"/>
        </w:rPr>
        <w:t xml:space="preserve">4: Measuring, Modelling and Statistical Algorithmic Stages in a Bio-Diversity Damage Quantitative Risk Model </w:t>
      </w:r>
    </w:p>
    <w:p w14:paraId="50173351" w14:textId="77777777" w:rsidR="008B0494" w:rsidRPr="005918D5" w:rsidRDefault="008B0494" w:rsidP="00DF4684">
      <w:pPr>
        <w:spacing w:after="120" w:line="360" w:lineRule="auto"/>
        <w:rPr>
          <w:sz w:val="22"/>
        </w:rPr>
      </w:pPr>
      <w:r w:rsidRPr="005918D5">
        <w:rPr>
          <w:noProof/>
          <w:sz w:val="22"/>
          <w:lang w:val="en-CA" w:eastAsia="en-CA"/>
        </w:rPr>
        <mc:AlternateContent>
          <mc:Choice Requires="wpc">
            <w:drawing>
              <wp:inline distT="0" distB="0" distL="0" distR="0" wp14:anchorId="035FDF27" wp14:editId="6E1A519E">
                <wp:extent cx="5257800" cy="3273425"/>
                <wp:effectExtent l="0" t="0" r="0" b="22225"/>
                <wp:docPr id="25"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AutoShape 5"/>
                        <wps:cNvSpPr>
                          <a:spLocks noChangeArrowheads="1"/>
                        </wps:cNvSpPr>
                        <wps:spPr bwMode="auto">
                          <a:xfrm>
                            <a:off x="1714500" y="36033"/>
                            <a:ext cx="1990979" cy="342754"/>
                          </a:xfrm>
                          <a:prstGeom prst="flowChartProcess">
                            <a:avLst/>
                          </a:prstGeom>
                          <a:solidFill>
                            <a:sysClr val="window" lastClr="FFFFFF">
                              <a:lumMod val="65000"/>
                            </a:sysClr>
                          </a:solidFill>
                          <a:ln w="9525">
                            <a:solidFill>
                              <a:srgbClr val="000000"/>
                            </a:solidFill>
                            <a:miter lim="800000"/>
                            <a:headEnd/>
                            <a:tailEnd/>
                          </a:ln>
                        </wps:spPr>
                        <wps:txbx>
                          <w:txbxContent>
                            <w:p w14:paraId="06DD4BBE" w14:textId="77777777" w:rsidR="00D90F37" w:rsidRPr="00FF727E" w:rsidRDefault="00D90F37" w:rsidP="008B0494">
                              <w:pPr>
                                <w:jc w:val="center"/>
                                <w:rPr>
                                  <w:color w:val="FFFFFF" w:themeColor="background1"/>
                                </w:rPr>
                              </w:pPr>
                              <w:r w:rsidRPr="00FF727E">
                                <w:rPr>
                                  <w:color w:val="FFFFFF" w:themeColor="background1"/>
                                </w:rPr>
                                <w:t>(A) Hazard Identification</w:t>
                              </w:r>
                            </w:p>
                          </w:txbxContent>
                        </wps:txbx>
                        <wps:bodyPr rot="0" vert="horz" wrap="square" lIns="91440" tIns="45720" rIns="91440" bIns="45720" anchor="t" anchorCtr="0" upright="1">
                          <a:noAutofit/>
                        </wps:bodyPr>
                      </wps:wsp>
                      <wps:wsp>
                        <wps:cNvPr id="8" name="AutoShape 6"/>
                        <wps:cNvSpPr>
                          <a:spLocks noChangeArrowheads="1"/>
                        </wps:cNvSpPr>
                        <wps:spPr bwMode="auto">
                          <a:xfrm>
                            <a:off x="343218" y="645418"/>
                            <a:ext cx="2090444" cy="342900"/>
                          </a:xfrm>
                          <a:prstGeom prst="flowChartProcess">
                            <a:avLst/>
                          </a:prstGeom>
                          <a:solidFill>
                            <a:sysClr val="window" lastClr="FFFFFF">
                              <a:lumMod val="65000"/>
                            </a:sysClr>
                          </a:solidFill>
                          <a:ln w="9525">
                            <a:solidFill>
                              <a:srgbClr val="000000"/>
                            </a:solidFill>
                            <a:miter lim="800000"/>
                            <a:headEnd/>
                            <a:tailEnd/>
                          </a:ln>
                        </wps:spPr>
                        <wps:txbx>
                          <w:txbxContent>
                            <w:p w14:paraId="14EBE792" w14:textId="77777777" w:rsidR="00D90F37" w:rsidRPr="00FF727E" w:rsidRDefault="00D90F37" w:rsidP="008B0494">
                              <w:pPr>
                                <w:jc w:val="center"/>
                                <w:rPr>
                                  <w:color w:val="FFFFFF" w:themeColor="background1"/>
                                </w:rPr>
                              </w:pPr>
                              <w:r w:rsidRPr="00FF727E">
                                <w:rPr>
                                  <w:color w:val="FFFFFF" w:themeColor="background1"/>
                                </w:rPr>
                                <w:t>(B) Exposure Assessment</w:t>
                              </w:r>
                            </w:p>
                          </w:txbxContent>
                        </wps:txbx>
                        <wps:bodyPr rot="0" vert="horz" wrap="square" lIns="91440" tIns="45720" rIns="91440" bIns="45720" anchor="t" anchorCtr="0" upright="1">
                          <a:noAutofit/>
                        </wps:bodyPr>
                      </wps:wsp>
                      <wps:wsp>
                        <wps:cNvPr id="9" name="AutoShape 7"/>
                        <wps:cNvSpPr>
                          <a:spLocks noChangeArrowheads="1"/>
                        </wps:cNvSpPr>
                        <wps:spPr bwMode="auto">
                          <a:xfrm>
                            <a:off x="2972118" y="645559"/>
                            <a:ext cx="1971357" cy="342900"/>
                          </a:xfrm>
                          <a:prstGeom prst="flowChartProcess">
                            <a:avLst/>
                          </a:prstGeom>
                          <a:solidFill>
                            <a:sysClr val="window" lastClr="FFFFFF">
                              <a:lumMod val="65000"/>
                            </a:sysClr>
                          </a:solidFill>
                          <a:ln w="9525">
                            <a:solidFill>
                              <a:srgbClr val="000000"/>
                            </a:solidFill>
                            <a:miter lim="800000"/>
                            <a:headEnd/>
                            <a:tailEnd/>
                          </a:ln>
                        </wps:spPr>
                        <wps:txbx>
                          <w:txbxContent>
                            <w:p w14:paraId="3C16A0E3" w14:textId="77777777" w:rsidR="00D90F37" w:rsidRPr="00FF727E" w:rsidRDefault="00D90F37" w:rsidP="008B0494">
                              <w:pPr>
                                <w:jc w:val="center"/>
                                <w:rPr>
                                  <w:color w:val="FFFFFF" w:themeColor="background1"/>
                                </w:rPr>
                              </w:pPr>
                              <w:r w:rsidRPr="00FF727E">
                                <w:rPr>
                                  <w:color w:val="FFFFFF" w:themeColor="background1"/>
                                </w:rPr>
                                <w:t>(C) Toxicity Assessment</w:t>
                              </w:r>
                            </w:p>
                          </w:txbxContent>
                        </wps:txbx>
                        <wps:bodyPr rot="0" vert="horz" wrap="square" lIns="91440" tIns="45720" rIns="91440" bIns="45720" anchor="t" anchorCtr="0" upright="1">
                          <a:noAutofit/>
                        </wps:bodyPr>
                      </wps:wsp>
                      <wps:wsp>
                        <wps:cNvPr id="10" name="AutoShape 8"/>
                        <wps:cNvSpPr>
                          <a:spLocks noChangeArrowheads="1"/>
                        </wps:cNvSpPr>
                        <wps:spPr bwMode="auto">
                          <a:xfrm>
                            <a:off x="1104986" y="1397293"/>
                            <a:ext cx="2209705" cy="342900"/>
                          </a:xfrm>
                          <a:prstGeom prst="flowChartProcess">
                            <a:avLst/>
                          </a:prstGeom>
                          <a:solidFill>
                            <a:sysClr val="window" lastClr="FFFFFF">
                              <a:lumMod val="65000"/>
                            </a:sysClr>
                          </a:solidFill>
                          <a:ln w="9525">
                            <a:solidFill>
                              <a:srgbClr val="000000"/>
                            </a:solidFill>
                            <a:miter lim="800000"/>
                            <a:headEnd/>
                            <a:tailEnd/>
                          </a:ln>
                        </wps:spPr>
                        <wps:txbx>
                          <w:txbxContent>
                            <w:p w14:paraId="7E3ADDC7" w14:textId="77777777" w:rsidR="00D90F37" w:rsidRPr="00FF727E" w:rsidRDefault="00D90F37" w:rsidP="008B0494">
                              <w:pPr>
                                <w:jc w:val="center"/>
                                <w:rPr>
                                  <w:color w:val="FFFFFF" w:themeColor="background1"/>
                                </w:rPr>
                              </w:pPr>
                              <w:r w:rsidRPr="00FF727E">
                                <w:rPr>
                                  <w:color w:val="FFFFFF" w:themeColor="background1"/>
                                </w:rPr>
                                <w:t>(D) Probability of Effect</w:t>
                              </w:r>
                            </w:p>
                          </w:txbxContent>
                        </wps:txbx>
                        <wps:bodyPr rot="0" vert="horz" wrap="square" lIns="91440" tIns="45720" rIns="91440" bIns="45720" anchor="t" anchorCtr="0" upright="1">
                          <a:noAutofit/>
                        </wps:bodyPr>
                      </wps:wsp>
                      <wps:wsp>
                        <wps:cNvPr id="11" name="AutoShape 9"/>
                        <wps:cNvSpPr>
                          <a:spLocks noChangeArrowheads="1"/>
                        </wps:cNvSpPr>
                        <wps:spPr bwMode="auto">
                          <a:xfrm>
                            <a:off x="1104900" y="2131196"/>
                            <a:ext cx="2209705" cy="457200"/>
                          </a:xfrm>
                          <a:prstGeom prst="flowChartProcess">
                            <a:avLst/>
                          </a:prstGeom>
                          <a:solidFill>
                            <a:sysClr val="window" lastClr="FFFFFF">
                              <a:lumMod val="65000"/>
                            </a:sysClr>
                          </a:solidFill>
                          <a:ln w="9525">
                            <a:solidFill>
                              <a:srgbClr val="000000"/>
                            </a:solidFill>
                            <a:miter lim="800000"/>
                            <a:headEnd/>
                            <a:tailEnd/>
                          </a:ln>
                        </wps:spPr>
                        <wps:txbx>
                          <w:txbxContent>
                            <w:p w14:paraId="7EA2B27F" w14:textId="77777777" w:rsidR="00D90F37" w:rsidRPr="00FF727E" w:rsidRDefault="00D90F37" w:rsidP="008B0494">
                              <w:pPr>
                                <w:jc w:val="center"/>
                                <w:rPr>
                                  <w:color w:val="FFFFFF" w:themeColor="background1"/>
                                </w:rPr>
                              </w:pPr>
                              <w:r w:rsidRPr="00FF727E">
                                <w:rPr>
                                  <w:color w:val="FFFFFF" w:themeColor="background1"/>
                                </w:rPr>
                                <w:t>(E) Probability of Exceeding Legal Thresholds</w:t>
                              </w:r>
                            </w:p>
                          </w:txbxContent>
                        </wps:txbx>
                        <wps:bodyPr rot="0" vert="horz" wrap="square" lIns="91440" tIns="45720" rIns="91440" bIns="45720" anchor="t" anchorCtr="0" upright="1">
                          <a:noAutofit/>
                        </wps:bodyPr>
                      </wps:wsp>
                      <wps:wsp>
                        <wps:cNvPr id="12" name="AutoShape 10"/>
                        <wps:cNvSpPr>
                          <a:spLocks noChangeArrowheads="1"/>
                        </wps:cNvSpPr>
                        <wps:spPr bwMode="auto">
                          <a:xfrm>
                            <a:off x="1104986" y="2816874"/>
                            <a:ext cx="2209705" cy="457201"/>
                          </a:xfrm>
                          <a:prstGeom prst="flowChartProcess">
                            <a:avLst/>
                          </a:prstGeom>
                          <a:solidFill>
                            <a:sysClr val="window" lastClr="FFFFFF">
                              <a:lumMod val="65000"/>
                            </a:sysClr>
                          </a:solidFill>
                          <a:ln w="9525">
                            <a:solidFill>
                              <a:srgbClr val="000000"/>
                            </a:solidFill>
                            <a:miter lim="800000"/>
                            <a:headEnd/>
                            <a:tailEnd/>
                          </a:ln>
                        </wps:spPr>
                        <wps:txbx>
                          <w:txbxContent>
                            <w:p w14:paraId="2E457285" w14:textId="77777777" w:rsidR="00D90F37" w:rsidRPr="00FF727E" w:rsidRDefault="00D90F37" w:rsidP="008B0494">
                              <w:pPr>
                                <w:jc w:val="center"/>
                                <w:rPr>
                                  <w:color w:val="FFFFFF" w:themeColor="background1"/>
                                </w:rPr>
                              </w:pPr>
                              <w:r w:rsidRPr="00FF727E">
                                <w:rPr>
                                  <w:color w:val="FFFFFF" w:themeColor="background1"/>
                                </w:rPr>
                                <w:t>(F) Financial &amp; Insurance Risk</w:t>
                              </w:r>
                            </w:p>
                          </w:txbxContent>
                        </wps:txbx>
                        <wps:bodyPr rot="0" vert="horz" wrap="square" lIns="91440" tIns="45720" rIns="91440" bIns="45720" anchor="t" anchorCtr="0" upright="1">
                          <a:noAutofit/>
                        </wps:bodyPr>
                      </wps:wsp>
                      <wps:wsp>
                        <wps:cNvPr id="13" name="AutoShape 11"/>
                        <wps:cNvSpPr>
                          <a:spLocks noChangeArrowheads="1"/>
                        </wps:cNvSpPr>
                        <wps:spPr bwMode="auto">
                          <a:xfrm>
                            <a:off x="3429254" y="2474500"/>
                            <a:ext cx="1713897" cy="342900"/>
                          </a:xfrm>
                          <a:prstGeom prst="flowChartProcess">
                            <a:avLst/>
                          </a:prstGeom>
                          <a:solidFill>
                            <a:srgbClr val="FFFFFF"/>
                          </a:solidFill>
                          <a:ln w="9525">
                            <a:solidFill>
                              <a:srgbClr val="000000"/>
                            </a:solidFill>
                            <a:miter lim="800000"/>
                            <a:headEnd/>
                            <a:tailEnd/>
                          </a:ln>
                        </wps:spPr>
                        <wps:txbx>
                          <w:txbxContent>
                            <w:p w14:paraId="4FCB2C48" w14:textId="77777777" w:rsidR="00D90F37" w:rsidRPr="00FF727E" w:rsidRDefault="00D90F37" w:rsidP="008B0494">
                              <w:pPr>
                                <w:jc w:val="center"/>
                                <w:rPr>
                                  <w:color w:val="0070C0"/>
                                </w:rPr>
                              </w:pPr>
                              <w:r w:rsidRPr="00FF727E">
                                <w:rPr>
                                  <w:color w:val="0070C0"/>
                                </w:rPr>
                                <w:t>Financial Cost Model</w:t>
                              </w:r>
                            </w:p>
                          </w:txbxContent>
                        </wps:txbx>
                        <wps:bodyPr rot="0" vert="horz" wrap="square" lIns="91440" tIns="45720" rIns="91440" bIns="45720" anchor="t" anchorCtr="0" upright="1">
                          <a:noAutofit/>
                        </wps:bodyPr>
                      </wps:wsp>
                      <wps:wsp>
                        <wps:cNvPr id="14" name="AutoShape 12"/>
                        <wps:cNvCnPr>
                          <a:cxnSpLocks noChangeShapeType="1"/>
                          <a:stCxn id="7" idx="2"/>
                          <a:endCxn id="8" idx="0"/>
                        </wps:cNvCnPr>
                        <wps:spPr bwMode="auto">
                          <a:xfrm rot="5400000">
                            <a:off x="1915900" y="-148673"/>
                            <a:ext cx="266631" cy="132155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13"/>
                        <wps:cNvCnPr>
                          <a:cxnSpLocks noChangeShapeType="1"/>
                          <a:stCxn id="7" idx="2"/>
                          <a:endCxn id="9" idx="0"/>
                        </wps:cNvCnPr>
                        <wps:spPr bwMode="auto">
                          <a:xfrm rot="16200000" flipH="1">
                            <a:off x="3200507" y="-111731"/>
                            <a:ext cx="266772" cy="124780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14"/>
                        <wps:cNvCnPr>
                          <a:cxnSpLocks noChangeShapeType="1"/>
                          <a:stCxn id="8" idx="2"/>
                          <a:endCxn id="10" idx="0"/>
                        </wps:cNvCnPr>
                        <wps:spPr bwMode="auto">
                          <a:xfrm rot="16200000" flipH="1">
                            <a:off x="1594621" y="782075"/>
                            <a:ext cx="409036" cy="821399"/>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15"/>
                        <wps:cNvCnPr>
                          <a:cxnSpLocks noChangeShapeType="1"/>
                          <a:stCxn id="9" idx="2"/>
                          <a:endCxn id="10" idx="0"/>
                        </wps:cNvCnPr>
                        <wps:spPr bwMode="auto">
                          <a:xfrm rot="5400000">
                            <a:off x="2879401" y="318897"/>
                            <a:ext cx="408834" cy="1747958"/>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16"/>
                        <wps:cNvCnPr>
                          <a:cxnSpLocks noChangeShapeType="1"/>
                          <a:stCxn id="10" idx="2"/>
                          <a:endCxn id="11" idx="0"/>
                        </wps:cNvCnPr>
                        <wps:spPr bwMode="auto">
                          <a:xfrm rot="5400000">
                            <a:off x="2014295" y="1935651"/>
                            <a:ext cx="391003" cy="8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17"/>
                        <wps:cNvCnPr>
                          <a:cxnSpLocks noChangeShapeType="1"/>
                          <a:stCxn id="11" idx="3"/>
                          <a:endCxn id="13" idx="0"/>
                        </wps:cNvCnPr>
                        <wps:spPr bwMode="auto">
                          <a:xfrm>
                            <a:off x="3314605" y="2359756"/>
                            <a:ext cx="971598" cy="114744"/>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8"/>
                        <wps:cNvCnPr>
                          <a:cxnSpLocks noChangeShapeType="1"/>
                          <a:stCxn id="13" idx="2"/>
                          <a:endCxn id="12" idx="3"/>
                        </wps:cNvCnPr>
                        <wps:spPr bwMode="auto">
                          <a:xfrm rot="5400000">
                            <a:off x="3686410" y="2445681"/>
                            <a:ext cx="228075" cy="971512"/>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9"/>
                        <wps:cNvSpPr>
                          <a:spLocks noChangeArrowheads="1"/>
                        </wps:cNvSpPr>
                        <wps:spPr bwMode="auto">
                          <a:xfrm>
                            <a:off x="3429254" y="1617250"/>
                            <a:ext cx="1713897" cy="514350"/>
                          </a:xfrm>
                          <a:prstGeom prst="flowChartProcess">
                            <a:avLst/>
                          </a:prstGeom>
                          <a:solidFill>
                            <a:srgbClr val="FFFFFF"/>
                          </a:solidFill>
                          <a:ln w="9525">
                            <a:solidFill>
                              <a:srgbClr val="000000"/>
                            </a:solidFill>
                            <a:miter lim="800000"/>
                            <a:headEnd/>
                            <a:tailEnd/>
                          </a:ln>
                        </wps:spPr>
                        <wps:txbx>
                          <w:txbxContent>
                            <w:p w14:paraId="44B445BA" w14:textId="77777777" w:rsidR="00D90F37" w:rsidRPr="00FF727E" w:rsidRDefault="00D90F37" w:rsidP="008B0494">
                              <w:pPr>
                                <w:jc w:val="center"/>
                                <w:rPr>
                                  <w:color w:val="0070C0"/>
                                </w:rPr>
                              </w:pPr>
                              <w:r w:rsidRPr="00FF727E">
                                <w:rPr>
                                  <w:color w:val="0070C0"/>
                                </w:rPr>
                                <w:t>Biological Effects Model</w:t>
                              </w:r>
                            </w:p>
                          </w:txbxContent>
                        </wps:txbx>
                        <wps:bodyPr rot="0" vert="horz" wrap="square" lIns="91440" tIns="45720" rIns="91440" bIns="45720" anchor="t" anchorCtr="0" upright="1">
                          <a:noAutofit/>
                        </wps:bodyPr>
                      </wps:wsp>
                      <wps:wsp>
                        <wps:cNvPr id="22" name="AutoShape 21"/>
                        <wps:cNvCnPr>
                          <a:cxnSpLocks noChangeShapeType="1"/>
                          <a:stCxn id="11" idx="2"/>
                          <a:endCxn id="12" idx="0"/>
                        </wps:cNvCnPr>
                        <wps:spPr bwMode="auto">
                          <a:xfrm rot="16200000" flipH="1">
                            <a:off x="2095557" y="2702592"/>
                            <a:ext cx="228478" cy="8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22"/>
                        <wps:cNvCnPr>
                          <a:cxnSpLocks noChangeShapeType="1"/>
                          <a:stCxn id="10" idx="3"/>
                          <a:endCxn id="21" idx="0"/>
                        </wps:cNvCnPr>
                        <wps:spPr bwMode="auto">
                          <a:xfrm>
                            <a:off x="3314691" y="1568743"/>
                            <a:ext cx="971512" cy="48507"/>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23"/>
                        <wps:cNvCnPr>
                          <a:cxnSpLocks noChangeShapeType="1"/>
                          <a:stCxn id="21" idx="2"/>
                          <a:endCxn id="11" idx="3"/>
                        </wps:cNvCnPr>
                        <wps:spPr bwMode="auto">
                          <a:xfrm rot="5400000">
                            <a:off x="3686326" y="1759879"/>
                            <a:ext cx="228156" cy="971598"/>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35FDF27" id="Canvas 4" o:spid="_x0000_s1047" editas="canvas" style="width:414pt;height:257.75pt;mso-position-horizontal-relative:char;mso-position-vertical-relative:line" coordsize="52578,3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">
                <v:shape id="_x0000_s1048" type="#_x0000_t75" style="position:absolute;width:52578;height:32734;visibility:visible;mso-wrap-style:square">
                  <v:fill o:detectmouseclick="t"/>
                  <v:path o:connecttype="none"/>
                </v:shape>
                <v:shapetype id="_x0000_t109" coordsize="21600,21600" o:spt="109" path="m,l,21600r21600,l21600,xe">
                  <v:stroke joinstyle="miter"/>
                  <v:path gradientshapeok="t" o:connecttype="rect"/>
                </v:shapetype>
                <v:shape id="AutoShape 5" o:spid="_x0000_s1049" type="#_x0000_t109" style="position:absolute;left:17145;top:360;width:19909;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" fillcolor="#a6a6a6">
                  <v:textbox>
                    <w:txbxContent>
                      <w:p w14:paraId="06DD4BBE" w14:textId="77777777" w:rsidR="00D90F37" w:rsidRPr="00FF727E" w:rsidRDefault="00D90F37" w:rsidP="008B0494">
                        <w:pPr>
                          <w:jc w:val="center"/>
                          <w:rPr>
                            <w:color w:val="FFFFFF" w:themeColor="background1"/>
                          </w:rPr>
                        </w:pPr>
                        <w:r w:rsidRPr="00FF727E">
                          <w:rPr>
                            <w:color w:val="FFFFFF" w:themeColor="background1"/>
                          </w:rPr>
                          <w:t>(A) Hazard Identification</w:t>
                        </w:r>
                      </w:p>
                    </w:txbxContent>
                  </v:textbox>
                </v:shape>
                <v:shape id="AutoShape 6" o:spid="_x0000_s1050" type="#_x0000_t109" style="position:absolute;left:3432;top:6454;width:2090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" fillcolor="#a6a6a6">
                  <v:textbox>
                    <w:txbxContent>
                      <w:p w14:paraId="14EBE792" w14:textId="77777777" w:rsidR="00D90F37" w:rsidRPr="00FF727E" w:rsidRDefault="00D90F37" w:rsidP="008B0494">
                        <w:pPr>
                          <w:jc w:val="center"/>
                          <w:rPr>
                            <w:color w:val="FFFFFF" w:themeColor="background1"/>
                          </w:rPr>
                        </w:pPr>
                        <w:r w:rsidRPr="00FF727E">
                          <w:rPr>
                            <w:color w:val="FFFFFF" w:themeColor="background1"/>
                          </w:rPr>
                          <w:t>(B) Exposure Assessment</w:t>
                        </w:r>
                      </w:p>
                    </w:txbxContent>
                  </v:textbox>
                </v:shape>
                <v:shape id="AutoShape 7" o:spid="_x0000_s1051" type="#_x0000_t109" style="position:absolute;left:29721;top:6455;width:1971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" fillcolor="#a6a6a6">
                  <v:textbox>
                    <w:txbxContent>
                      <w:p w14:paraId="3C16A0E3" w14:textId="77777777" w:rsidR="00D90F37" w:rsidRPr="00FF727E" w:rsidRDefault="00D90F37" w:rsidP="008B0494">
                        <w:pPr>
                          <w:jc w:val="center"/>
                          <w:rPr>
                            <w:color w:val="FFFFFF" w:themeColor="background1"/>
                          </w:rPr>
                        </w:pPr>
                        <w:r w:rsidRPr="00FF727E">
                          <w:rPr>
                            <w:color w:val="FFFFFF" w:themeColor="background1"/>
                          </w:rPr>
                          <w:t>(C) Toxicity Assessment</w:t>
                        </w:r>
                      </w:p>
                    </w:txbxContent>
                  </v:textbox>
                </v:shape>
                <v:shape id="AutoShape 8" o:spid="_x0000_s1052" type="#_x0000_t109" style="position:absolute;left:11049;top:13972;width:2209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" fillcolor="#a6a6a6">
                  <v:textbox>
                    <w:txbxContent>
                      <w:p w14:paraId="7E3ADDC7" w14:textId="77777777" w:rsidR="00D90F37" w:rsidRPr="00FF727E" w:rsidRDefault="00D90F37" w:rsidP="008B0494">
                        <w:pPr>
                          <w:jc w:val="center"/>
                          <w:rPr>
                            <w:color w:val="FFFFFF" w:themeColor="background1"/>
                          </w:rPr>
                        </w:pPr>
                        <w:r w:rsidRPr="00FF727E">
                          <w:rPr>
                            <w:color w:val="FFFFFF" w:themeColor="background1"/>
                          </w:rPr>
                          <w:t>(D) Probability of Effect</w:t>
                        </w:r>
                      </w:p>
                    </w:txbxContent>
                  </v:textbox>
                </v:shape>
                <v:shape id="AutoShape 9" o:spid="_x0000_s1053" type="#_x0000_t109" style="position:absolute;left:11049;top:21311;width:2209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" fillcolor="#a6a6a6">
                  <v:textbox>
                    <w:txbxContent>
                      <w:p w14:paraId="7EA2B27F" w14:textId="77777777" w:rsidR="00D90F37" w:rsidRPr="00FF727E" w:rsidRDefault="00D90F37" w:rsidP="008B0494">
                        <w:pPr>
                          <w:jc w:val="center"/>
                          <w:rPr>
                            <w:color w:val="FFFFFF" w:themeColor="background1"/>
                          </w:rPr>
                        </w:pPr>
                        <w:r w:rsidRPr="00FF727E">
                          <w:rPr>
                            <w:color w:val="FFFFFF" w:themeColor="background1"/>
                          </w:rPr>
                          <w:t>(E) Probability of Exceeding Legal Thresholds</w:t>
                        </w:r>
                      </w:p>
                    </w:txbxContent>
                  </v:textbox>
                </v:shape>
                <v:shape id="AutoShape 10" o:spid="_x0000_s1054" type="#_x0000_t109" style="position:absolute;left:11049;top:28168;width:2209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" fillcolor="#a6a6a6">
                  <v:textbox>
                    <w:txbxContent>
                      <w:p w14:paraId="2E457285" w14:textId="77777777" w:rsidR="00D90F37" w:rsidRPr="00FF727E" w:rsidRDefault="00D90F37" w:rsidP="008B0494">
                        <w:pPr>
                          <w:jc w:val="center"/>
                          <w:rPr>
                            <w:color w:val="FFFFFF" w:themeColor="background1"/>
                          </w:rPr>
                        </w:pPr>
                        <w:r w:rsidRPr="00FF727E">
                          <w:rPr>
                            <w:color w:val="FFFFFF" w:themeColor="background1"/>
                          </w:rPr>
                          <w:t>(F) Financial &amp; Insurance Risk</w:t>
                        </w:r>
                      </w:p>
                    </w:txbxContent>
                  </v:textbox>
                </v:shape>
                <v:shape id="AutoShape 11" o:spid="_x0000_s1055" type="#_x0000_t109" style="position:absolute;left:34292;top:24745;width:171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">
                  <v:textbox>
                    <w:txbxContent>
                      <w:p w14:paraId="4FCB2C48" w14:textId="77777777" w:rsidR="00D90F37" w:rsidRPr="00FF727E" w:rsidRDefault="00D90F37" w:rsidP="008B0494">
                        <w:pPr>
                          <w:jc w:val="center"/>
                          <w:rPr>
                            <w:color w:val="0070C0"/>
                          </w:rPr>
                        </w:pPr>
                        <w:r w:rsidRPr="00FF727E">
                          <w:rPr>
                            <w:color w:val="0070C0"/>
                          </w:rPr>
                          <w:t>Financial Cost Model</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 o:spid="_x0000_s1056" type="#_x0000_t34" style="position:absolute;left:19158;top:-1487;width:2667;height:1321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"/>
                <v:shape id="AutoShape 13" o:spid="_x0000_s1057" type="#_x0000_t34" style="position:absolute;left:32004;top:-1118;width:2668;height:1247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"/>
                <v:shape id="AutoShape 14" o:spid="_x0000_s1058" type="#_x0000_t34" style="position:absolute;left:15946;top:7820;width:4090;height:821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"/>
                <v:shape id="AutoShape 15" o:spid="_x0000_s1059" type="#_x0000_t34" style="position:absolute;left:28794;top:3188;width:4088;height:1747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"/>
                <v:shape id="AutoShape 16" o:spid="_x0000_s1060" type="#_x0000_t34" style="position:absolute;left:20143;top:19355;width:3910;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"/>
                <v:shapetype id="_x0000_t33" coordsize="21600,21600" o:spt="33" o:oned="t" path="m,l21600,r,21600e" filled="f">
                  <v:stroke joinstyle="miter"/>
                  <v:path arrowok="t" fillok="f" o:connecttype="none"/>
                  <o:lock v:ext="edit" shapetype="t"/>
                </v:shapetype>
                <v:shape id="AutoShape 17" o:spid="_x0000_s1061" type="#_x0000_t33" style="position:absolute;left:33146;top:23597;width:9716;height:114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"/>
                <v:shape id="AutoShape 18" o:spid="_x0000_s1062" type="#_x0000_t33" style="position:absolute;left:36863;top:24456;width:2281;height:971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"/>
                <v:shape id="AutoShape 19" o:spid="_x0000_s1063" type="#_x0000_t109" style="position:absolute;left:34292;top:16172;width:17139;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">
                  <v:textbox>
                    <w:txbxContent>
                      <w:p w14:paraId="44B445BA" w14:textId="77777777" w:rsidR="00D90F37" w:rsidRPr="00FF727E" w:rsidRDefault="00D90F37" w:rsidP="008B0494">
                        <w:pPr>
                          <w:jc w:val="center"/>
                          <w:rPr>
                            <w:color w:val="0070C0"/>
                          </w:rPr>
                        </w:pPr>
                        <w:r w:rsidRPr="00FF727E">
                          <w:rPr>
                            <w:color w:val="0070C0"/>
                          </w:rPr>
                          <w:t>Biological Effects Model</w:t>
                        </w:r>
                      </w:p>
                    </w:txbxContent>
                  </v:textbox>
                </v:shape>
                <v:shape id="AutoShape 21" o:spid="_x0000_s1064" type="#_x0000_t34" style="position:absolute;left:20955;top:27025;width:2285;height: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"/>
                <v:shape id="AutoShape 22" o:spid="_x0000_s1065" type="#_x0000_t33" style="position:absolute;left:33146;top:15687;width:9716;height:48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"/>
                <v:shape id="AutoShape 23" o:spid="_x0000_s1066" type="#_x0000_t33" style="position:absolute;left:36863;top:17599;width:2281;height:971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"/>
                <w10:anchorlock/>
              </v:group>
            </w:pict>
          </mc:Fallback>
        </mc:AlternateContent>
      </w:r>
    </w:p>
    <w:p w14:paraId="3CBBE4C5" w14:textId="77777777" w:rsidR="009B1F28" w:rsidRPr="005918D5" w:rsidRDefault="009B1F28" w:rsidP="00DF4684">
      <w:pPr>
        <w:spacing w:after="120" w:line="360" w:lineRule="auto"/>
        <w:jc w:val="both"/>
        <w:rPr>
          <w:bCs/>
          <w:sz w:val="22"/>
        </w:rPr>
      </w:pPr>
    </w:p>
    <w:p w14:paraId="34DF2E97" w14:textId="7D8043F4" w:rsidR="009B1F28" w:rsidRPr="005918D5" w:rsidRDefault="009B1F28" w:rsidP="00DF4684">
      <w:pPr>
        <w:spacing w:after="120" w:line="360" w:lineRule="auto"/>
        <w:jc w:val="both"/>
        <w:rPr>
          <w:b/>
          <w:bCs/>
          <w:iCs/>
          <w:sz w:val="22"/>
        </w:rPr>
      </w:pPr>
      <w:r w:rsidRPr="005918D5">
        <w:rPr>
          <w:bCs/>
          <w:sz w:val="22"/>
        </w:rPr>
        <w:t>6.1</w:t>
      </w:r>
      <w:r w:rsidR="00ED3A5B" w:rsidRPr="005918D5">
        <w:rPr>
          <w:bCs/>
          <w:sz w:val="22"/>
        </w:rPr>
        <w:t xml:space="preserve"> </w:t>
      </w:r>
      <w:r w:rsidR="00792827" w:rsidRPr="005918D5">
        <w:rPr>
          <w:bCs/>
          <w:iCs/>
          <w:sz w:val="22"/>
        </w:rPr>
        <w:t>Hazard Identification Module</w:t>
      </w:r>
      <w:r w:rsidR="00792827" w:rsidRPr="005918D5">
        <w:rPr>
          <w:b/>
          <w:bCs/>
          <w:iCs/>
          <w:sz w:val="22"/>
        </w:rPr>
        <w:t xml:space="preserve"> </w:t>
      </w:r>
    </w:p>
    <w:p w14:paraId="2B779C17" w14:textId="1F78F7FC" w:rsidR="009B1F28" w:rsidRPr="005918D5" w:rsidRDefault="00901E56" w:rsidP="00DF4684">
      <w:pPr>
        <w:spacing w:after="120" w:line="360" w:lineRule="auto"/>
        <w:jc w:val="both"/>
        <w:rPr>
          <w:bCs/>
          <w:sz w:val="22"/>
        </w:rPr>
      </w:pPr>
      <w:r w:rsidRPr="005918D5">
        <w:rPr>
          <w:sz w:val="22"/>
        </w:rPr>
        <w:t>In this module, industrial activities would be classified to present some level of hazard risk</w:t>
      </w:r>
      <w:r w:rsidR="00D62C7E" w:rsidRPr="005918D5">
        <w:rPr>
          <w:sz w:val="22"/>
        </w:rPr>
        <w:t>s</w:t>
      </w:r>
      <w:r w:rsidRPr="005918D5">
        <w:rPr>
          <w:sz w:val="22"/>
        </w:rPr>
        <w:t xml:space="preserve">, but the majority </w:t>
      </w:r>
      <w:r w:rsidR="00D62C7E" w:rsidRPr="005918D5">
        <w:rPr>
          <w:sz w:val="22"/>
        </w:rPr>
        <w:t>is</w:t>
      </w:r>
      <w:r w:rsidRPr="005918D5">
        <w:rPr>
          <w:sz w:val="22"/>
        </w:rPr>
        <w:t xml:space="preserve"> likely to be benign. Classification and general assessment of the hazards in the context of marine renewable energy is the normal product of Environmental Impact Assessments (EIAs). The outputs from EIAs are the starting point of definition of existing conditions, and baseline scenarios of biodiversity status in a selected geospatial zone. Measuring upon this baseline, the academic researcher and industry practitioner can identify and classify hazard risk scenarios </w:t>
      </w:r>
      <w:r w:rsidR="00884E54" w:rsidRPr="005918D5">
        <w:rPr>
          <w:sz w:val="22"/>
        </w:rPr>
        <w:t xml:space="preserve">and </w:t>
      </w:r>
      <w:r w:rsidRPr="005918D5">
        <w:rPr>
          <w:sz w:val="22"/>
        </w:rPr>
        <w:t>short</w:t>
      </w:r>
      <w:r w:rsidR="00884E54" w:rsidRPr="005918D5">
        <w:rPr>
          <w:sz w:val="22"/>
        </w:rPr>
        <w:t>-</w:t>
      </w:r>
      <w:r w:rsidRPr="005918D5">
        <w:rPr>
          <w:sz w:val="22"/>
        </w:rPr>
        <w:t xml:space="preserve"> and long-term hazard impact events. For example, in case studies on the impact of offshore renewable energy on marine mammals, the hazards will vary depending upon the industrial devices, </w:t>
      </w:r>
      <w:r w:rsidR="00884E54" w:rsidRPr="005918D5">
        <w:rPr>
          <w:sz w:val="22"/>
        </w:rPr>
        <w:t xml:space="preserve">the </w:t>
      </w:r>
      <w:r w:rsidRPr="005918D5">
        <w:rPr>
          <w:sz w:val="22"/>
        </w:rPr>
        <w:t xml:space="preserve">facilities, and the geophysical </w:t>
      </w:r>
      <w:r w:rsidRPr="005918D5">
        <w:rPr>
          <w:sz w:val="22"/>
        </w:rPr>
        <w:lastRenderedPageBreak/>
        <w:t>characteristics of the installation. In general, these will fall in</w:t>
      </w:r>
      <w:r w:rsidR="00884E54" w:rsidRPr="005918D5">
        <w:rPr>
          <w:sz w:val="22"/>
        </w:rPr>
        <w:t>to</w:t>
      </w:r>
      <w:r w:rsidRPr="005918D5">
        <w:rPr>
          <w:sz w:val="22"/>
        </w:rPr>
        <w:t xml:space="preserve"> three categories: (1) habitat exclusion through physical exclusion; (2) habitat exclusion through habitat modification because of acoustic or physical disturbance, change in the disposition of food</w:t>
      </w:r>
      <w:r w:rsidR="00937BBF" w:rsidRPr="005918D5">
        <w:rPr>
          <w:sz w:val="22"/>
        </w:rPr>
        <w:t>,</w:t>
      </w:r>
      <w:r w:rsidRPr="005918D5">
        <w:rPr>
          <w:sz w:val="22"/>
        </w:rPr>
        <w:t xml:space="preserve"> or loss of habitat critical to a life-history function; (3) direct physical damage to populations and single species. Given the baseline of the EIAs and the classification of hazard risks, the hazard identification module selects the most pressing set of risks presented by current commercial and industrial activities by market operators.</w:t>
      </w:r>
    </w:p>
    <w:p w14:paraId="77452F8B" w14:textId="16102640" w:rsidR="009B1F28" w:rsidRPr="005918D5" w:rsidRDefault="009B1F28" w:rsidP="00DF4684">
      <w:pPr>
        <w:spacing w:after="120" w:line="360" w:lineRule="auto"/>
        <w:jc w:val="both"/>
        <w:rPr>
          <w:bCs/>
          <w:sz w:val="22"/>
        </w:rPr>
      </w:pPr>
      <w:r w:rsidRPr="005918D5">
        <w:rPr>
          <w:bCs/>
          <w:sz w:val="22"/>
        </w:rPr>
        <w:t xml:space="preserve">6.2 </w:t>
      </w:r>
      <w:r w:rsidR="00ED3A5B" w:rsidRPr="005918D5">
        <w:rPr>
          <w:bCs/>
          <w:iCs/>
          <w:sz w:val="22"/>
        </w:rPr>
        <w:t xml:space="preserve">Exposure </w:t>
      </w:r>
      <w:r w:rsidRPr="005918D5">
        <w:rPr>
          <w:bCs/>
          <w:iCs/>
          <w:sz w:val="22"/>
        </w:rPr>
        <w:t>A</w:t>
      </w:r>
      <w:r w:rsidR="00ED3A5B" w:rsidRPr="005918D5">
        <w:rPr>
          <w:bCs/>
          <w:iCs/>
          <w:sz w:val="22"/>
        </w:rPr>
        <w:t>ssessment</w:t>
      </w:r>
      <w:r w:rsidR="001472B0" w:rsidRPr="005918D5">
        <w:rPr>
          <w:bCs/>
          <w:sz w:val="22"/>
        </w:rPr>
        <w:t xml:space="preserve"> </w:t>
      </w:r>
    </w:p>
    <w:p w14:paraId="5094DAE1" w14:textId="3E679696" w:rsidR="009B1F28" w:rsidRPr="005918D5" w:rsidRDefault="00901E56" w:rsidP="00DF4684">
      <w:pPr>
        <w:spacing w:after="120" w:line="360" w:lineRule="auto"/>
        <w:jc w:val="both"/>
        <w:rPr>
          <w:bCs/>
          <w:sz w:val="22"/>
        </w:rPr>
      </w:pPr>
      <w:r w:rsidRPr="005918D5">
        <w:rPr>
          <w:sz w:val="22"/>
        </w:rPr>
        <w:t>This function measur</w:t>
      </w:r>
      <w:r w:rsidR="00884E54" w:rsidRPr="005918D5">
        <w:rPr>
          <w:sz w:val="22"/>
        </w:rPr>
        <w:t>es</w:t>
      </w:r>
      <w:r w:rsidRPr="005918D5">
        <w:rPr>
          <w:sz w:val="22"/>
        </w:rPr>
        <w:t xml:space="preserve"> the number of individuals exposed or the proportion of the population exposed to the hazard. This measure depends on the disposition of the hazard in relation to the distribution of sensitive species or habitats. Similarly, based on reviews of existing data and case studies, enough information is available about the distribution of marine mammals around the European continental shelf to allow the construction of exposure distributions. It may be necessary to develop movement models of different species to allow simulation of exposure. Such movement and migration models develop an exposure assessment that describes the probability of exposure for different selected sensitive species to each hazard type, focusing on those deemed most important under</w:t>
      </w:r>
      <w:r w:rsidR="000C3468" w:rsidRPr="005918D5">
        <w:rPr>
          <w:bCs/>
          <w:sz w:val="22"/>
        </w:rPr>
        <w:t xml:space="preserve"> </w:t>
      </w:r>
      <w:r w:rsidRPr="005918D5">
        <w:rPr>
          <w:sz w:val="22"/>
        </w:rPr>
        <w:t>stage A. The exposure assessment includes the varying sensitivity between sedentary and mobile species and uses the predicted disposition of industrial, commercial</w:t>
      </w:r>
      <w:r w:rsidR="00884E54" w:rsidRPr="005918D5">
        <w:rPr>
          <w:sz w:val="22"/>
        </w:rPr>
        <w:t>,</w:t>
      </w:r>
      <w:r w:rsidRPr="005918D5">
        <w:rPr>
          <w:sz w:val="22"/>
        </w:rPr>
        <w:t xml:space="preserve"> and energy facilities. The response or vulnerability functions of each species are thus highly sensitive to their chronological and </w:t>
      </w:r>
      <w:r w:rsidR="00884E54" w:rsidRPr="005918D5">
        <w:rPr>
          <w:sz w:val="22"/>
        </w:rPr>
        <w:t>geospatial</w:t>
      </w:r>
      <w:r w:rsidRPr="005918D5">
        <w:rPr>
          <w:sz w:val="22"/>
        </w:rPr>
        <w:t xml:space="preserve"> location within the model domain. This dependence of the species response functions, and in more general terms</w:t>
      </w:r>
      <w:r w:rsidR="00884E54" w:rsidRPr="005918D5">
        <w:rPr>
          <w:sz w:val="22"/>
        </w:rPr>
        <w:t>,</w:t>
      </w:r>
      <w:r w:rsidRPr="005918D5">
        <w:rPr>
          <w:sz w:val="22"/>
        </w:rPr>
        <w:t xml:space="preserve"> of the baseline environmental and biodiversity metric creates a premise for a complex multi-variable, multi-dimensional model, with explicit temporal and geospatial domains of metrics and simulation and modelling functions, (see Rose, K. A et al., 2010). In this context it becomes critical to define the temporal and </w:t>
      </w:r>
      <w:r w:rsidR="00884E54" w:rsidRPr="005918D5">
        <w:rPr>
          <w:sz w:val="22"/>
        </w:rPr>
        <w:t>geospatial</w:t>
      </w:r>
      <w:r w:rsidRPr="005918D5">
        <w:rPr>
          <w:sz w:val="22"/>
        </w:rPr>
        <w:t xml:space="preserve"> granularity and scale of the model domain, which at present can be reliable supported by advances in memory and hardware resources management computational algorithms. Th</w:t>
      </w:r>
      <w:r w:rsidR="00884E54" w:rsidRPr="005918D5">
        <w:rPr>
          <w:sz w:val="22"/>
        </w:rPr>
        <w:t>ese</w:t>
      </w:r>
      <w:r w:rsidRPr="005918D5">
        <w:rPr>
          <w:sz w:val="22"/>
        </w:rPr>
        <w:t xml:space="preserve"> complex type</w:t>
      </w:r>
      <w:r w:rsidR="00884E54" w:rsidRPr="005918D5">
        <w:rPr>
          <w:sz w:val="22"/>
        </w:rPr>
        <w:t>s</w:t>
      </w:r>
      <w:r w:rsidRPr="005918D5">
        <w:rPr>
          <w:sz w:val="22"/>
        </w:rPr>
        <w:t xml:space="preserve"> of models by their very nature create result sets, which could be non-trivial for review and interpretation, and </w:t>
      </w:r>
      <w:r w:rsidR="002248B4" w:rsidRPr="005918D5">
        <w:rPr>
          <w:sz w:val="22"/>
        </w:rPr>
        <w:t xml:space="preserve">in turn </w:t>
      </w:r>
      <w:r w:rsidRPr="005918D5">
        <w:rPr>
          <w:sz w:val="22"/>
        </w:rPr>
        <w:t>this premise will create demand for adequate results and data validation, visualization</w:t>
      </w:r>
      <w:r w:rsidR="002248B4" w:rsidRPr="005918D5">
        <w:rPr>
          <w:sz w:val="22"/>
        </w:rPr>
        <w:t>,</w:t>
      </w:r>
      <w:r w:rsidRPr="005918D5">
        <w:rPr>
          <w:sz w:val="22"/>
        </w:rPr>
        <w:t xml:space="preserve"> and interpretation tools.</w:t>
      </w:r>
    </w:p>
    <w:p w14:paraId="1A62B409" w14:textId="4A02560E" w:rsidR="009B1F28" w:rsidRPr="005918D5" w:rsidRDefault="009B1F28" w:rsidP="00DF4684">
      <w:pPr>
        <w:spacing w:after="120" w:line="360" w:lineRule="auto"/>
        <w:jc w:val="both"/>
        <w:rPr>
          <w:bCs/>
          <w:sz w:val="22"/>
        </w:rPr>
      </w:pPr>
      <w:r w:rsidRPr="005918D5">
        <w:rPr>
          <w:bCs/>
          <w:sz w:val="22"/>
        </w:rPr>
        <w:t xml:space="preserve">6.3 </w:t>
      </w:r>
      <w:r w:rsidR="00ED3A5B" w:rsidRPr="005918D5">
        <w:rPr>
          <w:bCs/>
          <w:iCs/>
          <w:sz w:val="22"/>
        </w:rPr>
        <w:t>Toxicity</w:t>
      </w:r>
      <w:r w:rsidR="00605D70" w:rsidRPr="005918D5">
        <w:rPr>
          <w:bCs/>
          <w:iCs/>
          <w:sz w:val="22"/>
        </w:rPr>
        <w:t xml:space="preserve"> </w:t>
      </w:r>
      <w:r w:rsidRPr="005918D5">
        <w:rPr>
          <w:bCs/>
          <w:iCs/>
          <w:sz w:val="22"/>
        </w:rPr>
        <w:t>A</w:t>
      </w:r>
      <w:r w:rsidR="00ED3A5B" w:rsidRPr="005918D5">
        <w:rPr>
          <w:bCs/>
          <w:iCs/>
          <w:sz w:val="22"/>
        </w:rPr>
        <w:t>ssessment</w:t>
      </w:r>
      <w:r w:rsidR="00ED3A5B" w:rsidRPr="005918D5">
        <w:rPr>
          <w:bCs/>
          <w:sz w:val="22"/>
        </w:rPr>
        <w:t xml:space="preserve"> </w:t>
      </w:r>
    </w:p>
    <w:p w14:paraId="285CB928" w14:textId="6457A88C" w:rsidR="00ED3A5B" w:rsidRPr="005918D5" w:rsidRDefault="009B1F28" w:rsidP="00DF4684">
      <w:pPr>
        <w:spacing w:after="120" w:line="360" w:lineRule="auto"/>
        <w:jc w:val="both"/>
        <w:rPr>
          <w:bCs/>
          <w:sz w:val="22"/>
        </w:rPr>
      </w:pPr>
      <w:r w:rsidRPr="005918D5">
        <w:rPr>
          <w:bCs/>
          <w:sz w:val="22"/>
        </w:rPr>
        <w:t>This module and algorithmic library serve</w:t>
      </w:r>
      <w:r w:rsidR="00CD4FC9" w:rsidRPr="005918D5">
        <w:rPr>
          <w:bCs/>
          <w:sz w:val="22"/>
        </w:rPr>
        <w:t xml:space="preserve"> to identify </w:t>
      </w:r>
      <w:r w:rsidR="00CD4FC9" w:rsidRPr="005918D5">
        <w:rPr>
          <w:sz w:val="22"/>
        </w:rPr>
        <w:t>t</w:t>
      </w:r>
      <w:r w:rsidR="00ED3A5B" w:rsidRPr="005918D5">
        <w:rPr>
          <w:sz w:val="22"/>
        </w:rPr>
        <w:t>he dose-response characteristics of species</w:t>
      </w:r>
      <w:r w:rsidR="00CD4FC9" w:rsidRPr="005918D5">
        <w:rPr>
          <w:sz w:val="22"/>
        </w:rPr>
        <w:t>, which</w:t>
      </w:r>
      <w:r w:rsidR="00ED3A5B" w:rsidRPr="005918D5">
        <w:rPr>
          <w:sz w:val="22"/>
        </w:rPr>
        <w:t xml:space="preserve"> is gener</w:t>
      </w:r>
      <w:r w:rsidR="00CD4FC9" w:rsidRPr="005918D5">
        <w:rPr>
          <w:sz w:val="22"/>
        </w:rPr>
        <w:t xml:space="preserve">ally not well characterised. Data </w:t>
      </w:r>
      <w:r w:rsidR="006B37FE" w:rsidRPr="005918D5">
        <w:rPr>
          <w:sz w:val="22"/>
        </w:rPr>
        <w:t>that</w:t>
      </w:r>
      <w:r w:rsidR="00ED3A5B" w:rsidRPr="005918D5">
        <w:rPr>
          <w:sz w:val="22"/>
        </w:rPr>
        <w:t xml:space="preserve"> </w:t>
      </w:r>
      <w:r w:rsidR="00CD4FC9" w:rsidRPr="005918D5">
        <w:rPr>
          <w:sz w:val="22"/>
        </w:rPr>
        <w:t xml:space="preserve">already </w:t>
      </w:r>
      <w:r w:rsidR="00ED3A5B" w:rsidRPr="005918D5">
        <w:rPr>
          <w:sz w:val="22"/>
        </w:rPr>
        <w:t>exist</w:t>
      </w:r>
      <w:r w:rsidR="00CD4FC9" w:rsidRPr="005918D5">
        <w:rPr>
          <w:sz w:val="22"/>
        </w:rPr>
        <w:t>s</w:t>
      </w:r>
      <w:r w:rsidR="00ED3A5B" w:rsidRPr="005918D5">
        <w:rPr>
          <w:sz w:val="22"/>
        </w:rPr>
        <w:t xml:space="preserve"> would be used to develop probability distributions across all sensitive species for the three general categories of hazard listed under</w:t>
      </w:r>
      <w:r w:rsidR="00CD4FC9" w:rsidRPr="005918D5">
        <w:rPr>
          <w:sz w:val="22"/>
        </w:rPr>
        <w:t xml:space="preserve"> stage</w:t>
      </w:r>
      <w:r w:rsidR="00ED3A5B" w:rsidRPr="005918D5">
        <w:rPr>
          <w:sz w:val="22"/>
        </w:rPr>
        <w:t xml:space="preserve"> A. </w:t>
      </w:r>
      <w:r w:rsidR="00D4608D" w:rsidRPr="005918D5">
        <w:rPr>
          <w:sz w:val="22"/>
        </w:rPr>
        <w:t>Again,</w:t>
      </w:r>
      <w:r w:rsidR="00CD4FC9" w:rsidRPr="005918D5">
        <w:rPr>
          <w:sz w:val="22"/>
        </w:rPr>
        <w:t xml:space="preserve"> in </w:t>
      </w:r>
      <w:r w:rsidR="002248B4" w:rsidRPr="005918D5">
        <w:rPr>
          <w:sz w:val="22"/>
        </w:rPr>
        <w:t xml:space="preserve">the </w:t>
      </w:r>
      <w:r w:rsidR="00CD4FC9" w:rsidRPr="005918D5">
        <w:rPr>
          <w:sz w:val="22"/>
        </w:rPr>
        <w:t xml:space="preserve">context of offshore energy facilities developments </w:t>
      </w:r>
      <w:r w:rsidR="00CD4FC9" w:rsidRPr="005918D5">
        <w:rPr>
          <w:sz w:val="22"/>
        </w:rPr>
        <w:lastRenderedPageBreak/>
        <w:t xml:space="preserve">and hazard risks for marine </w:t>
      </w:r>
      <w:r w:rsidR="00D4608D" w:rsidRPr="005918D5">
        <w:rPr>
          <w:sz w:val="22"/>
        </w:rPr>
        <w:t>mammals</w:t>
      </w:r>
      <w:r w:rsidR="002248B4" w:rsidRPr="005918D5">
        <w:rPr>
          <w:sz w:val="22"/>
        </w:rPr>
        <w:t>,</w:t>
      </w:r>
      <w:r w:rsidR="00CD623B" w:rsidRPr="005918D5">
        <w:rPr>
          <w:sz w:val="22"/>
        </w:rPr>
        <w:t xml:space="preserve"> </w:t>
      </w:r>
      <w:r w:rsidR="00ED3A5B" w:rsidRPr="005918D5">
        <w:rPr>
          <w:sz w:val="22"/>
        </w:rPr>
        <w:t>work has already been done to model</w:t>
      </w:r>
      <w:r w:rsidR="00CD623B" w:rsidRPr="005918D5">
        <w:rPr>
          <w:sz w:val="22"/>
        </w:rPr>
        <w:t xml:space="preserve"> some hazard factors. T</w:t>
      </w:r>
      <w:r w:rsidR="00ED3A5B" w:rsidRPr="005918D5">
        <w:rPr>
          <w:sz w:val="22"/>
        </w:rPr>
        <w:t>he relationship between the body size of an animal, the blade diameter and speed</w:t>
      </w:r>
      <w:r w:rsidR="00CD623B" w:rsidRPr="005918D5">
        <w:rPr>
          <w:sz w:val="22"/>
        </w:rPr>
        <w:t>,</w:t>
      </w:r>
      <w:r w:rsidR="00ED3A5B" w:rsidRPr="005918D5">
        <w:rPr>
          <w:sz w:val="22"/>
        </w:rPr>
        <w:t xml:space="preserve"> and the probability of an animal striking a tidal turbine blade</w:t>
      </w:r>
      <w:r w:rsidR="00CD623B" w:rsidRPr="005918D5">
        <w:rPr>
          <w:sz w:val="22"/>
        </w:rPr>
        <w:t xml:space="preserve"> can be modelled and quantified. The effect of a direct damage</w:t>
      </w:r>
      <w:r w:rsidR="00ED3A5B" w:rsidRPr="005918D5">
        <w:rPr>
          <w:sz w:val="22"/>
        </w:rPr>
        <w:t xml:space="preserve"> upon the viability of individual animals may be modelled under different scenarios to examine the sensitivity of the risk assessments to different assumptions about toxicity until measured data become available. Similar approaches can be taken for other hazards, such as noise from pile driving.</w:t>
      </w:r>
      <w:r w:rsidR="00421270" w:rsidRPr="005918D5">
        <w:rPr>
          <w:b/>
          <w:bCs/>
          <w:sz w:val="22"/>
        </w:rPr>
        <w:t xml:space="preserve"> </w:t>
      </w:r>
      <w:r w:rsidR="00D82ACB" w:rsidRPr="005918D5">
        <w:rPr>
          <w:bCs/>
          <w:sz w:val="22"/>
        </w:rPr>
        <w:t xml:space="preserve">In principle, at this stage of the process, a range of </w:t>
      </w:r>
      <w:r w:rsidR="00CD623B" w:rsidRPr="005918D5">
        <w:rPr>
          <w:bCs/>
          <w:sz w:val="22"/>
        </w:rPr>
        <w:t xml:space="preserve">dose-response functions </w:t>
      </w:r>
      <w:r w:rsidR="00D82ACB" w:rsidRPr="005918D5">
        <w:rPr>
          <w:bCs/>
          <w:sz w:val="22"/>
        </w:rPr>
        <w:t xml:space="preserve">is developed </w:t>
      </w:r>
      <w:r w:rsidR="00CD623B" w:rsidRPr="005918D5">
        <w:rPr>
          <w:bCs/>
          <w:sz w:val="22"/>
        </w:rPr>
        <w:t xml:space="preserve">for selected sensitive species to different hazards that should include </w:t>
      </w:r>
      <w:r w:rsidR="002248B4" w:rsidRPr="005918D5">
        <w:rPr>
          <w:bCs/>
          <w:sz w:val="22"/>
        </w:rPr>
        <w:t xml:space="preserve">the </w:t>
      </w:r>
      <w:r w:rsidR="00CD623B" w:rsidRPr="005918D5">
        <w:rPr>
          <w:bCs/>
          <w:sz w:val="22"/>
        </w:rPr>
        <w:t>effects of habitat exclusion and physical damage</w:t>
      </w:r>
      <w:r w:rsidR="002248B4" w:rsidRPr="005918D5">
        <w:rPr>
          <w:bCs/>
          <w:sz w:val="22"/>
        </w:rPr>
        <w:t>s</w:t>
      </w:r>
      <w:r w:rsidR="00CD623B" w:rsidRPr="005918D5">
        <w:rPr>
          <w:bCs/>
          <w:sz w:val="22"/>
        </w:rPr>
        <w:t xml:space="preserve">. Where possible, these </w:t>
      </w:r>
      <w:r w:rsidR="00D82ACB" w:rsidRPr="005918D5">
        <w:rPr>
          <w:bCs/>
          <w:sz w:val="22"/>
        </w:rPr>
        <w:t xml:space="preserve">functions </w:t>
      </w:r>
      <w:r w:rsidR="00CD623B" w:rsidRPr="005918D5">
        <w:rPr>
          <w:bCs/>
          <w:sz w:val="22"/>
        </w:rPr>
        <w:t>should be based upon any experimental data available but, where this is not available, scenarios should be used to explore the sensitivity to the toxicity of each hazard.</w:t>
      </w:r>
    </w:p>
    <w:p w14:paraId="115AA70C" w14:textId="77777777" w:rsidR="009B1F28" w:rsidRPr="005918D5" w:rsidRDefault="009B1F28" w:rsidP="00DF4684">
      <w:pPr>
        <w:spacing w:after="120" w:line="360" w:lineRule="auto"/>
        <w:jc w:val="both"/>
        <w:rPr>
          <w:bCs/>
          <w:sz w:val="22"/>
        </w:rPr>
      </w:pPr>
    </w:p>
    <w:p w14:paraId="245EC0B1" w14:textId="0680A7C8" w:rsidR="009B1F28" w:rsidRPr="005918D5" w:rsidRDefault="009B1F28" w:rsidP="00DF4684">
      <w:pPr>
        <w:spacing w:after="120" w:line="360" w:lineRule="auto"/>
        <w:jc w:val="both"/>
        <w:rPr>
          <w:bCs/>
          <w:iCs/>
          <w:sz w:val="22"/>
        </w:rPr>
      </w:pPr>
      <w:r w:rsidRPr="005918D5">
        <w:rPr>
          <w:bCs/>
          <w:sz w:val="22"/>
        </w:rPr>
        <w:t xml:space="preserve">6.4 </w:t>
      </w:r>
      <w:r w:rsidR="00D82ACB" w:rsidRPr="005918D5">
        <w:rPr>
          <w:bCs/>
          <w:iCs/>
          <w:sz w:val="22"/>
        </w:rPr>
        <w:t xml:space="preserve">Probability of Effect </w:t>
      </w:r>
    </w:p>
    <w:p w14:paraId="7E688505" w14:textId="794DFF4A" w:rsidR="009B1F28" w:rsidRPr="005918D5" w:rsidRDefault="00333FD8" w:rsidP="00DF4684">
      <w:pPr>
        <w:spacing w:after="120" w:line="360" w:lineRule="auto"/>
        <w:jc w:val="both"/>
        <w:rPr>
          <w:sz w:val="22"/>
        </w:rPr>
      </w:pPr>
      <w:r w:rsidRPr="005918D5">
        <w:rPr>
          <w:bCs/>
          <w:iCs/>
          <w:sz w:val="22"/>
        </w:rPr>
        <w:t xml:space="preserve">A fully probabilistic module measures the joint probability of animals being exposed to all hazards, some of which may occur simultaneously. The toxicity of these hazards provides an overall risk probability for the sensitive species or habitats involved. This, in effect, provides a fully quantitative risk quotient, including uncertainty around the quotient. For example, this measure defines </w:t>
      </w:r>
      <w:r w:rsidR="002248B4" w:rsidRPr="005918D5">
        <w:rPr>
          <w:bCs/>
          <w:iCs/>
          <w:sz w:val="22"/>
        </w:rPr>
        <w:t>the</w:t>
      </w:r>
      <w:r w:rsidRPr="005918D5">
        <w:rPr>
          <w:bCs/>
          <w:iCs/>
          <w:sz w:val="22"/>
        </w:rPr>
        <w:t xml:space="preserve"> number of animals of a particular population likely to be exposed to hazardous impacts. In situations where there is insufficient information to feed a reasonable risk profile derived from first principles, academics and actuarial practitioners typically use current data sets to develop a generalized risk distribution for environmental hazards that could then be applied in its needed context. An example could be to use stranding data for marine mammals around the UK and European Atlantic coastlines, or fisheries data to examine the possibility of developing underlying generalized functions for extreme events. This use of data is particularly important in the context of offshore renewables because there will always be an underlying probability of effect</w:t>
      </w:r>
      <w:r w:rsidR="002248B4" w:rsidRPr="005918D5">
        <w:rPr>
          <w:bCs/>
          <w:iCs/>
          <w:sz w:val="22"/>
        </w:rPr>
        <w:t>s</w:t>
      </w:r>
      <w:r w:rsidRPr="005918D5">
        <w:rPr>
          <w:bCs/>
          <w:iCs/>
          <w:sz w:val="22"/>
        </w:rPr>
        <w:t xml:space="preserve"> occurring, which are unrelated to the effects of the activities being modelled. It is essential to understand the capacity as we must distinguish the effects and signals of the development of renewable energy from the background of natural stochasticity noise of variability in environmental biodiversity. In summary, at this stage of the modelling process, the probability distribution of the effects of a hazard upon selected sensitive species or habitats is constructed by using available time-series of species-based data. Generalized information about the background distribution of natural hazards is derived with an estimated likelihood of detecting effects on sensitive species. The probability of effect is measurable by category and will vary by hazard driver and by the geo</w:t>
      </w:r>
      <w:r w:rsidR="00066153" w:rsidRPr="005918D5">
        <w:rPr>
          <w:bCs/>
          <w:iCs/>
          <w:sz w:val="22"/>
        </w:rPr>
        <w:t>spatial</w:t>
      </w:r>
      <w:r w:rsidRPr="005918D5">
        <w:rPr>
          <w:bCs/>
          <w:iCs/>
          <w:sz w:val="22"/>
        </w:rPr>
        <w:t xml:space="preserve"> resolution of the model. The measurability of the impacts of the change drivers in most general terms has two aspects</w:t>
      </w:r>
      <w:r w:rsidR="00066153" w:rsidRPr="005918D5">
        <w:rPr>
          <w:bCs/>
          <w:iCs/>
          <w:sz w:val="22"/>
        </w:rPr>
        <w:t>.</w:t>
      </w:r>
      <w:r w:rsidRPr="005918D5">
        <w:rPr>
          <w:bCs/>
          <w:iCs/>
          <w:sz w:val="22"/>
        </w:rPr>
        <w:t xml:space="preserve"> </w:t>
      </w:r>
      <w:r w:rsidR="00066153" w:rsidRPr="005918D5">
        <w:rPr>
          <w:bCs/>
          <w:iCs/>
          <w:sz w:val="22"/>
        </w:rPr>
        <w:t>F</w:t>
      </w:r>
      <w:r w:rsidRPr="005918D5">
        <w:rPr>
          <w:bCs/>
          <w:iCs/>
          <w:sz w:val="22"/>
        </w:rPr>
        <w:t>irstly</w:t>
      </w:r>
      <w:r w:rsidR="00066153" w:rsidRPr="005918D5">
        <w:rPr>
          <w:bCs/>
          <w:iCs/>
          <w:sz w:val="22"/>
        </w:rPr>
        <w:t>,</w:t>
      </w:r>
      <w:r w:rsidRPr="005918D5">
        <w:rPr>
          <w:bCs/>
          <w:iCs/>
          <w:sz w:val="22"/>
        </w:rPr>
        <w:t xml:space="preserve"> it captures the sensitivity of the disturbance and degradation upon the whole geospatial </w:t>
      </w:r>
      <w:r w:rsidRPr="005918D5">
        <w:rPr>
          <w:bCs/>
          <w:iCs/>
          <w:sz w:val="22"/>
        </w:rPr>
        <w:lastRenderedPageBreak/>
        <w:t xml:space="preserve">habitat, and </w:t>
      </w:r>
      <w:r w:rsidR="00066153" w:rsidRPr="005918D5">
        <w:rPr>
          <w:bCs/>
          <w:iCs/>
          <w:sz w:val="22"/>
        </w:rPr>
        <w:t xml:space="preserve">secondly, it captures </w:t>
      </w:r>
      <w:r w:rsidRPr="005918D5">
        <w:rPr>
          <w:bCs/>
          <w:iCs/>
          <w:sz w:val="22"/>
        </w:rPr>
        <w:t xml:space="preserve">in a more detailed manner the impact on component species of interest (see Smith C.J. et al., 2016). Furthermore, the complexity of modelling is increased by inter-dependence and correlations between hazard drivers and the time variability element of such impacts (see Smith C.J. et al, 2014). </w:t>
      </w:r>
    </w:p>
    <w:p w14:paraId="7C00A890" w14:textId="10FEEBB4" w:rsidR="009B1F28" w:rsidRPr="005918D5" w:rsidRDefault="009B1F28" w:rsidP="00DF4684">
      <w:pPr>
        <w:spacing w:after="120" w:line="360" w:lineRule="auto"/>
        <w:jc w:val="both"/>
        <w:rPr>
          <w:bCs/>
          <w:sz w:val="22"/>
        </w:rPr>
      </w:pPr>
      <w:r w:rsidRPr="005918D5">
        <w:rPr>
          <w:bCs/>
          <w:sz w:val="22"/>
        </w:rPr>
        <w:t xml:space="preserve">6.5 </w:t>
      </w:r>
      <w:r w:rsidR="00ED3A5B" w:rsidRPr="005918D5">
        <w:rPr>
          <w:bCs/>
          <w:iCs/>
          <w:sz w:val="22"/>
        </w:rPr>
        <w:t xml:space="preserve">Probability of </w:t>
      </w:r>
      <w:r w:rsidRPr="005918D5">
        <w:rPr>
          <w:bCs/>
          <w:iCs/>
          <w:sz w:val="22"/>
        </w:rPr>
        <w:t>E</w:t>
      </w:r>
      <w:r w:rsidR="00ED3A5B" w:rsidRPr="005918D5">
        <w:rPr>
          <w:bCs/>
          <w:iCs/>
          <w:sz w:val="22"/>
        </w:rPr>
        <w:t xml:space="preserve">xceeding </w:t>
      </w:r>
      <w:r w:rsidRPr="005918D5">
        <w:rPr>
          <w:bCs/>
          <w:iCs/>
          <w:sz w:val="22"/>
        </w:rPr>
        <w:t>L</w:t>
      </w:r>
      <w:r w:rsidR="00ED3A5B" w:rsidRPr="005918D5">
        <w:rPr>
          <w:bCs/>
          <w:iCs/>
          <w:sz w:val="22"/>
        </w:rPr>
        <w:t xml:space="preserve">egal </w:t>
      </w:r>
      <w:r w:rsidRPr="005918D5">
        <w:rPr>
          <w:bCs/>
          <w:iCs/>
          <w:sz w:val="22"/>
        </w:rPr>
        <w:t>T</w:t>
      </w:r>
      <w:r w:rsidR="00ED3A5B" w:rsidRPr="005918D5">
        <w:rPr>
          <w:bCs/>
          <w:iCs/>
          <w:sz w:val="22"/>
        </w:rPr>
        <w:t>hresholds</w:t>
      </w:r>
      <w:r w:rsidR="00A95E3A" w:rsidRPr="005918D5">
        <w:rPr>
          <w:bCs/>
          <w:sz w:val="22"/>
        </w:rPr>
        <w:t xml:space="preserve"> </w:t>
      </w:r>
    </w:p>
    <w:p w14:paraId="2B87D9B1" w14:textId="4D105D79" w:rsidR="00333FD8" w:rsidRPr="005918D5" w:rsidRDefault="00333FD8" w:rsidP="00DF4684">
      <w:pPr>
        <w:spacing w:after="120" w:line="360" w:lineRule="auto"/>
        <w:jc w:val="both"/>
        <w:rPr>
          <w:sz w:val="22"/>
        </w:rPr>
      </w:pPr>
      <w:r w:rsidRPr="005918D5">
        <w:rPr>
          <w:sz w:val="22"/>
        </w:rPr>
        <w:t>Social, economic, and legal measures are a much-needed estimate in the definition of insurable loss under the framework of the ELD 2007. Unlike for many forms of chemical pollution where discharge concentrations have been set as thresholds that should not be exceeded, thresholds for the effects on sensitive species have</w:t>
      </w:r>
      <w:r w:rsidR="00066153" w:rsidRPr="005918D5">
        <w:rPr>
          <w:sz w:val="22"/>
        </w:rPr>
        <w:t xml:space="preserve"> generally</w:t>
      </w:r>
      <w:r w:rsidRPr="005918D5">
        <w:rPr>
          <w:sz w:val="22"/>
        </w:rPr>
        <w:t xml:space="preserve"> not been agreed to, despite recent legislation developments. Since all commercial and industrial procedures are likely to have some level of impact, it is critical to distinguish effects, which are likely to be biologically significant. Although some European Commission directives call for there to be demonstrably no effect before </w:t>
      </w:r>
      <w:r w:rsidR="00ED3A5B" w:rsidRPr="005918D5">
        <w:rPr>
          <w:sz w:val="22"/>
        </w:rPr>
        <w:t xml:space="preserve">a </w:t>
      </w:r>
      <w:r w:rsidRPr="005918D5">
        <w:rPr>
          <w:sz w:val="22"/>
        </w:rPr>
        <w:t>development can proceed, this is impractical, and such an extreme position will likely shift to one where effects must not exceed some pre-determined level of</w:t>
      </w:r>
      <w:r w:rsidR="00ED3A5B" w:rsidRPr="005918D5">
        <w:rPr>
          <w:sz w:val="22"/>
        </w:rPr>
        <w:t xml:space="preserve"> </w:t>
      </w:r>
      <w:r w:rsidRPr="005918D5">
        <w:rPr>
          <w:sz w:val="22"/>
        </w:rPr>
        <w:t>biological significance. The outputs from a methodology measuring the likelihoods of effect</w:t>
      </w:r>
      <w:r w:rsidR="00066153" w:rsidRPr="005918D5">
        <w:rPr>
          <w:sz w:val="22"/>
        </w:rPr>
        <w:t>s</w:t>
      </w:r>
      <w:r w:rsidRPr="005918D5">
        <w:rPr>
          <w:sz w:val="22"/>
        </w:rPr>
        <w:t xml:space="preserve"> (D) are translated into a</w:t>
      </w:r>
      <w:r w:rsidR="00ED3A5B" w:rsidRPr="005918D5">
        <w:rPr>
          <w:sz w:val="22"/>
        </w:rPr>
        <w:t xml:space="preserve"> </w:t>
      </w:r>
      <w:r w:rsidRPr="005918D5">
        <w:rPr>
          <w:sz w:val="22"/>
        </w:rPr>
        <w:t>biological significance</w:t>
      </w:r>
      <w:r w:rsidR="00ED3A5B" w:rsidRPr="005918D5">
        <w:rPr>
          <w:sz w:val="22"/>
        </w:rPr>
        <w:t xml:space="preserve"> </w:t>
      </w:r>
      <w:r w:rsidRPr="005918D5">
        <w:rPr>
          <w:sz w:val="22"/>
        </w:rPr>
        <w:t>through specific biological models. These often include generalized demographic models for sensitive species. Past assessments of</w:t>
      </w:r>
      <w:r w:rsidR="00ED3A5B" w:rsidRPr="005918D5">
        <w:rPr>
          <w:sz w:val="22"/>
        </w:rPr>
        <w:t xml:space="preserve"> </w:t>
      </w:r>
      <w:r w:rsidRPr="005918D5">
        <w:rPr>
          <w:sz w:val="22"/>
        </w:rPr>
        <w:t>biological significance</w:t>
      </w:r>
      <w:r w:rsidR="00ED3A5B" w:rsidRPr="005918D5">
        <w:rPr>
          <w:i/>
          <w:iCs/>
          <w:sz w:val="22"/>
        </w:rPr>
        <w:t xml:space="preserve"> </w:t>
      </w:r>
      <w:r w:rsidRPr="005918D5">
        <w:rPr>
          <w:sz w:val="22"/>
        </w:rPr>
        <w:t>are available for some species, as for harbour porpoises concerning fisheries bycatch. These estimates, frequently provided by academic institutions, are used by national and local governments</w:t>
      </w:r>
      <w:r w:rsidR="00066153" w:rsidRPr="005918D5">
        <w:rPr>
          <w:sz w:val="22"/>
        </w:rPr>
        <w:t>,</w:t>
      </w:r>
      <w:r w:rsidRPr="005918D5">
        <w:rPr>
          <w:sz w:val="22"/>
        </w:rPr>
        <w:t xml:space="preserve"> which lead to the development of sensible legal thresholds, by embedding </w:t>
      </w:r>
      <w:r w:rsidR="001B47B5" w:rsidRPr="005918D5">
        <w:rPr>
          <w:sz w:val="22"/>
        </w:rPr>
        <w:t xml:space="preserve">them </w:t>
      </w:r>
      <w:r w:rsidRPr="005918D5">
        <w:rPr>
          <w:sz w:val="22"/>
        </w:rPr>
        <w:t>in fundamental biological theory.</w:t>
      </w:r>
    </w:p>
    <w:p w14:paraId="7965F37F" w14:textId="039B8632" w:rsidR="00333FD8" w:rsidRPr="005918D5" w:rsidRDefault="00333FD8" w:rsidP="00DF4684">
      <w:pPr>
        <w:spacing w:after="120" w:line="360" w:lineRule="auto"/>
        <w:jc w:val="both"/>
        <w:rPr>
          <w:sz w:val="22"/>
        </w:rPr>
      </w:pPr>
      <w:r w:rsidRPr="005918D5">
        <w:rPr>
          <w:sz w:val="22"/>
        </w:rPr>
        <w:t>Differences between</w:t>
      </w:r>
      <w:r w:rsidR="00E84E4E" w:rsidRPr="005918D5">
        <w:rPr>
          <w:sz w:val="22"/>
        </w:rPr>
        <w:t xml:space="preserve"> </w:t>
      </w:r>
      <w:r w:rsidR="001B47B5" w:rsidRPr="005918D5">
        <w:rPr>
          <w:sz w:val="22"/>
        </w:rPr>
        <w:t>r</w:t>
      </w:r>
      <w:r w:rsidRPr="005918D5">
        <w:rPr>
          <w:sz w:val="22"/>
        </w:rPr>
        <w:t xml:space="preserve">egulatory </w:t>
      </w:r>
      <w:r w:rsidR="001B47B5" w:rsidRPr="005918D5">
        <w:rPr>
          <w:sz w:val="22"/>
        </w:rPr>
        <w:t>r</w:t>
      </w:r>
      <w:r w:rsidRPr="005918D5">
        <w:rPr>
          <w:sz w:val="22"/>
        </w:rPr>
        <w:t>isk</w:t>
      </w:r>
      <w:r w:rsidR="00ED3A5B" w:rsidRPr="005918D5">
        <w:rPr>
          <w:sz w:val="22"/>
        </w:rPr>
        <w:t xml:space="preserve"> </w:t>
      </w:r>
      <w:r w:rsidRPr="005918D5">
        <w:rPr>
          <w:sz w:val="22"/>
        </w:rPr>
        <w:t>and</w:t>
      </w:r>
      <w:r w:rsidR="00ED3A5B" w:rsidRPr="005918D5">
        <w:rPr>
          <w:sz w:val="22"/>
        </w:rPr>
        <w:t xml:space="preserve"> </w:t>
      </w:r>
      <w:r w:rsidR="001B47B5" w:rsidRPr="005918D5">
        <w:rPr>
          <w:sz w:val="22"/>
        </w:rPr>
        <w:t>i</w:t>
      </w:r>
      <w:r w:rsidRPr="005918D5">
        <w:rPr>
          <w:sz w:val="22"/>
        </w:rPr>
        <w:t xml:space="preserve">nfraction </w:t>
      </w:r>
      <w:r w:rsidR="001B47B5" w:rsidRPr="005918D5">
        <w:rPr>
          <w:sz w:val="22"/>
        </w:rPr>
        <w:t>r</w:t>
      </w:r>
      <w:r w:rsidRPr="005918D5">
        <w:rPr>
          <w:sz w:val="22"/>
        </w:rPr>
        <w:t>isk</w:t>
      </w:r>
      <w:r w:rsidR="00E84E4E" w:rsidRPr="005918D5">
        <w:rPr>
          <w:sz w:val="22"/>
        </w:rPr>
        <w:t xml:space="preserve"> </w:t>
      </w:r>
      <w:r w:rsidRPr="005918D5">
        <w:rPr>
          <w:sz w:val="22"/>
        </w:rPr>
        <w:t>are apparent, and they do constitute different definitions of likelihoods of exceeding a legal threshold. Without a clear case law or precise guidance and in the presence of high uncertainty, regulators may take a precautionary approach to set the acceptable thresholds, and local socio-political drivers may also drive this threshold to some extent. This</w:t>
      </w:r>
      <w:r w:rsidR="00ED3A5B" w:rsidRPr="005918D5">
        <w:rPr>
          <w:sz w:val="22"/>
        </w:rPr>
        <w:t xml:space="preserve"> </w:t>
      </w:r>
      <w:r w:rsidR="001B47B5" w:rsidRPr="005918D5">
        <w:rPr>
          <w:sz w:val="22"/>
        </w:rPr>
        <w:t>r</w:t>
      </w:r>
      <w:r w:rsidRPr="005918D5">
        <w:rPr>
          <w:sz w:val="22"/>
        </w:rPr>
        <w:t>egulatory risk</w:t>
      </w:r>
      <w:r w:rsidR="003A5F7A" w:rsidRPr="005918D5">
        <w:rPr>
          <w:sz w:val="22"/>
        </w:rPr>
        <w:t xml:space="preserve"> </w:t>
      </w:r>
      <w:r w:rsidRPr="005918D5">
        <w:rPr>
          <w:sz w:val="22"/>
        </w:rPr>
        <w:t>is likely to differ from</w:t>
      </w:r>
      <w:r w:rsidR="00ED3A5B" w:rsidRPr="005918D5">
        <w:rPr>
          <w:sz w:val="22"/>
        </w:rPr>
        <w:t xml:space="preserve"> </w:t>
      </w:r>
      <w:r w:rsidR="001B47B5" w:rsidRPr="005918D5">
        <w:rPr>
          <w:sz w:val="22"/>
        </w:rPr>
        <w:t>i</w:t>
      </w:r>
      <w:r w:rsidRPr="005918D5">
        <w:rPr>
          <w:sz w:val="22"/>
        </w:rPr>
        <w:t xml:space="preserve">nfraction </w:t>
      </w:r>
      <w:r w:rsidR="001B47B5" w:rsidRPr="005918D5">
        <w:rPr>
          <w:sz w:val="22"/>
        </w:rPr>
        <w:t>r</w:t>
      </w:r>
      <w:r w:rsidRPr="005918D5">
        <w:rPr>
          <w:sz w:val="22"/>
        </w:rPr>
        <w:t>isk.</w:t>
      </w:r>
      <w:r w:rsidR="00ED3A5B" w:rsidRPr="005918D5">
        <w:rPr>
          <w:sz w:val="22"/>
        </w:rPr>
        <w:t xml:space="preserve"> </w:t>
      </w:r>
      <w:r w:rsidRPr="005918D5">
        <w:rPr>
          <w:sz w:val="22"/>
        </w:rPr>
        <w:t>Regulatory risk</w:t>
      </w:r>
      <w:r w:rsidR="00ED3A5B" w:rsidRPr="005918D5">
        <w:rPr>
          <w:i/>
          <w:iCs/>
          <w:sz w:val="22"/>
        </w:rPr>
        <w:t xml:space="preserve"> </w:t>
      </w:r>
      <w:r w:rsidRPr="005918D5">
        <w:rPr>
          <w:sz w:val="22"/>
        </w:rPr>
        <w:t>may also show volatility through time depending upon the political process. However, it should not be assumed that regulators will be more precautionary with legal thresholds that will lead to infraction because, under some circumstances, regulators may be forced to apply “national and local interest” criteria to their judgements</w:t>
      </w:r>
      <w:r w:rsidR="001B47B5" w:rsidRPr="005918D5">
        <w:rPr>
          <w:sz w:val="22"/>
        </w:rPr>
        <w:t>,</w:t>
      </w:r>
      <w:r w:rsidRPr="005918D5">
        <w:rPr>
          <w:sz w:val="22"/>
        </w:rPr>
        <w:t xml:space="preserve"> and these may force decisions about licensing that exceed legal thresholds.</w:t>
      </w:r>
    </w:p>
    <w:p w14:paraId="26682A98" w14:textId="0077E783" w:rsidR="00333FD8" w:rsidRPr="005918D5" w:rsidRDefault="00333FD8" w:rsidP="00DF4684">
      <w:pPr>
        <w:spacing w:after="120" w:line="360" w:lineRule="auto"/>
        <w:rPr>
          <w:sz w:val="22"/>
        </w:rPr>
      </w:pPr>
      <w:r w:rsidRPr="005918D5">
        <w:rPr>
          <w:sz w:val="22"/>
        </w:rPr>
        <w:t xml:space="preserve">In summary, a methodology for estimating likelihoods of exceeding legal thresholds provides a generalized approach to define the probability of a hazard or a set of hazards resulting in an infraction. </w:t>
      </w:r>
      <w:r w:rsidR="001B47B5" w:rsidRPr="005918D5">
        <w:rPr>
          <w:sz w:val="22"/>
        </w:rPr>
        <w:t>The l</w:t>
      </w:r>
      <w:r w:rsidRPr="005918D5">
        <w:rPr>
          <w:sz w:val="22"/>
        </w:rPr>
        <w:t>ikelihoods of exceeding thresholds in terms of precautionary levels address</w:t>
      </w:r>
      <w:r w:rsidR="00FC1F7E" w:rsidRPr="005918D5">
        <w:rPr>
          <w:bCs/>
          <w:sz w:val="22"/>
        </w:rPr>
        <w:t xml:space="preserve"> </w:t>
      </w:r>
      <w:r w:rsidRPr="005918D5">
        <w:rPr>
          <w:sz w:val="22"/>
        </w:rPr>
        <w:t>regulatory risk</w:t>
      </w:r>
      <w:r w:rsidR="00FC1F7E" w:rsidRPr="005918D5">
        <w:rPr>
          <w:bCs/>
          <w:sz w:val="22"/>
        </w:rPr>
        <w:t xml:space="preserve">, </w:t>
      </w:r>
      <w:r w:rsidRPr="005918D5">
        <w:rPr>
          <w:sz w:val="22"/>
        </w:rPr>
        <w:t>while defining thresholds in terms of legal terminology cover</w:t>
      </w:r>
      <w:r w:rsidR="005C0992" w:rsidRPr="005918D5">
        <w:rPr>
          <w:bCs/>
          <w:sz w:val="22"/>
        </w:rPr>
        <w:t xml:space="preserve"> </w:t>
      </w:r>
      <w:r w:rsidRPr="005918D5">
        <w:rPr>
          <w:sz w:val="22"/>
        </w:rPr>
        <w:t>infraction risk.</w:t>
      </w:r>
    </w:p>
    <w:p w14:paraId="04EC0DB4" w14:textId="77777777" w:rsidR="009B1F28" w:rsidRPr="005918D5" w:rsidRDefault="009B1F28" w:rsidP="00DF4684">
      <w:pPr>
        <w:spacing w:after="120" w:line="360" w:lineRule="auto"/>
        <w:rPr>
          <w:bCs/>
          <w:sz w:val="22"/>
        </w:rPr>
      </w:pPr>
    </w:p>
    <w:p w14:paraId="61D5E57B" w14:textId="17ED6026" w:rsidR="009B1F28" w:rsidRPr="005918D5" w:rsidRDefault="009B1F28" w:rsidP="00DF4684">
      <w:pPr>
        <w:spacing w:after="120" w:line="360" w:lineRule="auto"/>
        <w:jc w:val="both"/>
        <w:rPr>
          <w:bCs/>
          <w:sz w:val="22"/>
        </w:rPr>
      </w:pPr>
      <w:r w:rsidRPr="005918D5">
        <w:rPr>
          <w:bCs/>
          <w:sz w:val="22"/>
        </w:rPr>
        <w:t xml:space="preserve">6.6 </w:t>
      </w:r>
      <w:r w:rsidR="00ED3A5B" w:rsidRPr="005918D5">
        <w:rPr>
          <w:bCs/>
          <w:iCs/>
          <w:sz w:val="22"/>
        </w:rPr>
        <w:t>Financial</w:t>
      </w:r>
      <w:r w:rsidR="00FC1F7E" w:rsidRPr="005918D5">
        <w:rPr>
          <w:bCs/>
          <w:iCs/>
          <w:sz w:val="22"/>
        </w:rPr>
        <w:t xml:space="preserve"> and </w:t>
      </w:r>
      <w:r w:rsidRPr="005918D5">
        <w:rPr>
          <w:bCs/>
          <w:iCs/>
          <w:sz w:val="22"/>
        </w:rPr>
        <w:t>I</w:t>
      </w:r>
      <w:r w:rsidR="00FC1F7E" w:rsidRPr="005918D5">
        <w:rPr>
          <w:bCs/>
          <w:iCs/>
          <w:sz w:val="22"/>
        </w:rPr>
        <w:t>nsurance</w:t>
      </w:r>
      <w:r w:rsidR="00ED3A5B" w:rsidRPr="005918D5">
        <w:rPr>
          <w:bCs/>
          <w:iCs/>
          <w:sz w:val="22"/>
        </w:rPr>
        <w:t xml:space="preserve"> </w:t>
      </w:r>
      <w:r w:rsidRPr="005918D5">
        <w:rPr>
          <w:bCs/>
          <w:iCs/>
          <w:sz w:val="22"/>
        </w:rPr>
        <w:t>R</w:t>
      </w:r>
      <w:r w:rsidR="00ED3A5B" w:rsidRPr="005918D5">
        <w:rPr>
          <w:bCs/>
          <w:iCs/>
          <w:sz w:val="22"/>
        </w:rPr>
        <w:t>isk</w:t>
      </w:r>
      <w:r w:rsidR="00FC1F7E" w:rsidRPr="005918D5">
        <w:rPr>
          <w:bCs/>
          <w:sz w:val="22"/>
        </w:rPr>
        <w:t xml:space="preserve"> </w:t>
      </w:r>
    </w:p>
    <w:p w14:paraId="363DF6C9" w14:textId="332B97BB" w:rsidR="00014237" w:rsidRPr="005918D5" w:rsidRDefault="00014237" w:rsidP="00DF4684">
      <w:pPr>
        <w:spacing w:after="120" w:line="360" w:lineRule="auto"/>
        <w:jc w:val="both"/>
        <w:rPr>
          <w:bCs/>
          <w:sz w:val="22"/>
        </w:rPr>
      </w:pPr>
      <w:r w:rsidRPr="005918D5">
        <w:rPr>
          <w:bCs/>
          <w:sz w:val="22"/>
        </w:rPr>
        <w:t>Monetary losses, impact and policy outcomes are always the superior methodology products of research and modelling strateg</w:t>
      </w:r>
      <w:r w:rsidR="001B47B5" w:rsidRPr="005918D5">
        <w:rPr>
          <w:bCs/>
          <w:sz w:val="22"/>
        </w:rPr>
        <w:t>ies</w:t>
      </w:r>
      <w:r w:rsidRPr="005918D5">
        <w:rPr>
          <w:bCs/>
          <w:sz w:val="22"/>
        </w:rPr>
        <w:t xml:space="preserve"> for defining and measuring marine bio-diversity risks. Having defined the probability of exceeding legal thresholds, actual or perceived, in (E), the next methodology task is to express this in terms of financial and insurance risk. In</w:t>
      </w:r>
      <w:r w:rsidR="006B37FE" w:rsidRPr="005918D5">
        <w:rPr>
          <w:bCs/>
          <w:sz w:val="22"/>
        </w:rPr>
        <w:t xml:space="preserve"> the</w:t>
      </w:r>
      <w:r w:rsidRPr="005918D5">
        <w:rPr>
          <w:bCs/>
          <w:sz w:val="22"/>
        </w:rPr>
        <w:t xml:space="preserve"> industry, </w:t>
      </w:r>
      <w:r w:rsidR="006B37FE" w:rsidRPr="005918D5">
        <w:rPr>
          <w:bCs/>
          <w:sz w:val="22"/>
        </w:rPr>
        <w:t xml:space="preserve">as well as </w:t>
      </w:r>
      <w:r w:rsidRPr="005918D5">
        <w:rPr>
          <w:bCs/>
          <w:sz w:val="22"/>
        </w:rPr>
        <w:t xml:space="preserve">consulting and academic case studies, </w:t>
      </w:r>
      <w:r w:rsidR="001B47B5" w:rsidRPr="005918D5">
        <w:rPr>
          <w:bCs/>
          <w:sz w:val="22"/>
        </w:rPr>
        <w:t>it</w:t>
      </w:r>
      <w:r w:rsidRPr="005918D5">
        <w:rPr>
          <w:bCs/>
          <w:sz w:val="22"/>
        </w:rPr>
        <w:t xml:space="preserve"> is achieved through an economic model of the offshore renewables industry that </w:t>
      </w:r>
      <w:r w:rsidR="001B47B5" w:rsidRPr="005918D5">
        <w:rPr>
          <w:bCs/>
          <w:sz w:val="22"/>
        </w:rPr>
        <w:t xml:space="preserve">calculates </w:t>
      </w:r>
      <w:r w:rsidRPr="005918D5">
        <w:rPr>
          <w:bCs/>
          <w:sz w:val="22"/>
        </w:rPr>
        <w:t>the trade-offs involved in different scenarios. The functions relating to bio-diversity hazard risk translated to regulatory and infraction risk a</w:t>
      </w:r>
      <w:r w:rsidR="001B47B5" w:rsidRPr="005918D5">
        <w:rPr>
          <w:bCs/>
          <w:sz w:val="22"/>
        </w:rPr>
        <w:t>n</w:t>
      </w:r>
      <w:r w:rsidRPr="005918D5">
        <w:rPr>
          <w:bCs/>
          <w:sz w:val="22"/>
        </w:rPr>
        <w:t>d mapped to economic cost are critical to making value judgements about the financial viability of projects. These methodologies define the insurance and financial risk</w:t>
      </w:r>
      <w:r w:rsidR="001B47B5" w:rsidRPr="005918D5">
        <w:rPr>
          <w:bCs/>
          <w:sz w:val="22"/>
        </w:rPr>
        <w:t>s</w:t>
      </w:r>
      <w:r w:rsidRPr="005918D5">
        <w:rPr>
          <w:bCs/>
          <w:sz w:val="22"/>
        </w:rPr>
        <w:t xml:space="preserve"> being carried by commercial and industrial operators and in turn inform their demand for the proper kinds of insurance schemes </w:t>
      </w:r>
      <w:r w:rsidR="001B47B5" w:rsidRPr="005918D5">
        <w:rPr>
          <w:bCs/>
          <w:sz w:val="22"/>
        </w:rPr>
        <w:t>to</w:t>
      </w:r>
      <w:r w:rsidRPr="005918D5">
        <w:rPr>
          <w:bCs/>
          <w:sz w:val="22"/>
        </w:rPr>
        <w:t xml:space="preserve"> provide the most appropriate insurance coverage for the offshore oil, renewables</w:t>
      </w:r>
      <w:r w:rsidR="001B47B5" w:rsidRPr="005918D5">
        <w:rPr>
          <w:bCs/>
          <w:sz w:val="22"/>
        </w:rPr>
        <w:t>,</w:t>
      </w:r>
      <w:r w:rsidRPr="005918D5">
        <w:rPr>
          <w:bCs/>
          <w:sz w:val="22"/>
        </w:rPr>
        <w:t xml:space="preserve"> and other industries operating in the coastline marine environments. Standard insurance and financial modelling methodologies and actuarial knowledge of available and proposed insurance and re-insurance instruments and policies are used in this practice to estimate losses and costs to the economic operators and the insurance sector. As EU environmental regulation</w:t>
      </w:r>
      <w:r w:rsidR="001B47B5" w:rsidRPr="005918D5">
        <w:rPr>
          <w:bCs/>
          <w:sz w:val="22"/>
        </w:rPr>
        <w:t>s</w:t>
      </w:r>
      <w:r w:rsidRPr="005918D5">
        <w:rPr>
          <w:bCs/>
          <w:sz w:val="22"/>
        </w:rPr>
        <w:t xml:space="preserve"> and national government implementations are continuously developing</w:t>
      </w:r>
      <w:r w:rsidR="0096085D" w:rsidRPr="005918D5">
        <w:rPr>
          <w:bCs/>
          <w:sz w:val="22"/>
        </w:rPr>
        <w:t>,</w:t>
      </w:r>
      <w:r w:rsidRPr="005918D5">
        <w:rPr>
          <w:bCs/>
          <w:sz w:val="22"/>
        </w:rPr>
        <w:t xml:space="preserve"> ELD is one of the top growing legislative fields</w:t>
      </w:r>
      <w:r w:rsidR="001B47B5" w:rsidRPr="005918D5">
        <w:rPr>
          <w:bCs/>
          <w:sz w:val="22"/>
        </w:rPr>
        <w:t>.</w:t>
      </w:r>
      <w:r w:rsidRPr="005918D5">
        <w:rPr>
          <w:bCs/>
          <w:sz w:val="22"/>
        </w:rPr>
        <w:t xml:space="preserve"> </w:t>
      </w:r>
      <w:r w:rsidR="001B47B5" w:rsidRPr="005918D5">
        <w:rPr>
          <w:bCs/>
          <w:sz w:val="22"/>
        </w:rPr>
        <w:t>F</w:t>
      </w:r>
      <w:r w:rsidRPr="005918D5">
        <w:rPr>
          <w:bCs/>
          <w:sz w:val="22"/>
        </w:rPr>
        <w:t>inancial cost models need to reliably define the insurance risks associated with compliance with current and proposed EU environmental regulations.</w:t>
      </w:r>
    </w:p>
    <w:p w14:paraId="2B3A1674" w14:textId="44E26C45" w:rsidR="00014237" w:rsidRPr="005918D5" w:rsidRDefault="00014237" w:rsidP="00DF4684">
      <w:pPr>
        <w:spacing w:after="120" w:line="360" w:lineRule="auto"/>
        <w:jc w:val="both"/>
        <w:rPr>
          <w:bCs/>
          <w:sz w:val="22"/>
        </w:rPr>
      </w:pPr>
      <w:r w:rsidRPr="005918D5">
        <w:rPr>
          <w:bCs/>
          <w:sz w:val="22"/>
        </w:rPr>
        <w:t>In the overall development and growth of these methodologies, innovation is required and is continuously emerging in many areas. These advancements are summarized as follows: (i) creating data sets of risk parameters for bio-environmental assets; (ii) deriving mathematical-statistical methodologies to describe the severity of environmental and bio-diversity hazard events; (iii) designing relation functions to translate the impact of hazard events on the baseline of the risk parameters of bio-environmental assets into physical and monetary costs to public domain;</w:t>
      </w:r>
      <w:r w:rsidR="001B47B5" w:rsidRPr="005918D5">
        <w:rPr>
          <w:bCs/>
          <w:sz w:val="22"/>
        </w:rPr>
        <w:t xml:space="preserve"> and</w:t>
      </w:r>
      <w:r w:rsidRPr="005918D5">
        <w:rPr>
          <w:bCs/>
          <w:sz w:val="22"/>
        </w:rPr>
        <w:t xml:space="preserve"> (iv) creating mathematical insurance models to estimate</w:t>
      </w:r>
      <w:r w:rsidR="009B6746" w:rsidRPr="005918D5">
        <w:rPr>
          <w:bCs/>
          <w:sz w:val="22"/>
        </w:rPr>
        <w:t xml:space="preserve"> the</w:t>
      </w:r>
      <w:r w:rsidRPr="005918D5">
        <w:rPr>
          <w:bCs/>
          <w:sz w:val="22"/>
        </w:rPr>
        <w:t xml:space="preserve"> cost and loss distributions to economic operators and insurance companies.</w:t>
      </w:r>
    </w:p>
    <w:p w14:paraId="0562CB0E" w14:textId="7CD06AB8" w:rsidR="007D7E6D" w:rsidRPr="005918D5" w:rsidRDefault="00014237" w:rsidP="00DF4684">
      <w:pPr>
        <w:spacing w:after="120" w:line="360" w:lineRule="auto"/>
        <w:jc w:val="both"/>
        <w:rPr>
          <w:sz w:val="22"/>
        </w:rPr>
      </w:pPr>
      <w:r w:rsidRPr="005918D5">
        <w:rPr>
          <w:sz w:val="22"/>
        </w:rPr>
        <w:t xml:space="preserve">However, traditional mathematical-statistical methods have limitations because of the </w:t>
      </w:r>
      <w:r w:rsidR="00ED3A5B" w:rsidRPr="005918D5">
        <w:rPr>
          <w:sz w:val="22"/>
        </w:rPr>
        <w:t>low</w:t>
      </w:r>
      <w:r w:rsidRPr="005918D5">
        <w:rPr>
          <w:sz w:val="22"/>
        </w:rPr>
        <w:t xml:space="preserve"> availability or simple lack of technical historical and statistical data, and lack of experience in economic operators, which otherwise provide valuable information for modelling risk distributions under the assumption that these are stationary. </w:t>
      </w:r>
      <w:r w:rsidR="00C52BFA" w:rsidRPr="005918D5">
        <w:rPr>
          <w:sz w:val="22"/>
        </w:rPr>
        <w:t>The u</w:t>
      </w:r>
      <w:r w:rsidRPr="005918D5">
        <w:rPr>
          <w:sz w:val="22"/>
        </w:rPr>
        <w:t xml:space="preserve">se of insurance claims experience and data is limited for the same reason and due to current changes in regulatory </w:t>
      </w:r>
      <w:r w:rsidRPr="005918D5">
        <w:rPr>
          <w:sz w:val="22"/>
        </w:rPr>
        <w:lastRenderedPageBreak/>
        <w:t xml:space="preserve">practices, which </w:t>
      </w:r>
      <w:r w:rsidR="00C52BFA" w:rsidRPr="005918D5">
        <w:rPr>
          <w:sz w:val="22"/>
        </w:rPr>
        <w:t>are</w:t>
      </w:r>
      <w:r w:rsidRPr="005918D5">
        <w:rPr>
          <w:sz w:val="22"/>
        </w:rPr>
        <w:t xml:space="preserve"> compensated by alternative methods of mathematical and statistical inference for problems of low initial information and data availability.</w:t>
      </w:r>
    </w:p>
    <w:p w14:paraId="41FE2877" w14:textId="34154E7A" w:rsidR="00ED3A5B" w:rsidRPr="005918D5" w:rsidRDefault="009B1F28" w:rsidP="00DF4684">
      <w:pPr>
        <w:spacing w:after="120" w:line="360" w:lineRule="auto"/>
        <w:jc w:val="both"/>
        <w:rPr>
          <w:szCs w:val="28"/>
        </w:rPr>
      </w:pPr>
      <w:r w:rsidRPr="005918D5">
        <w:rPr>
          <w:szCs w:val="28"/>
        </w:rPr>
        <w:t>7</w:t>
      </w:r>
      <w:r w:rsidR="00D33D18" w:rsidRPr="005918D5">
        <w:rPr>
          <w:szCs w:val="28"/>
        </w:rPr>
        <w:t xml:space="preserve">.0 </w:t>
      </w:r>
      <w:r w:rsidR="00B8097C" w:rsidRPr="005918D5">
        <w:rPr>
          <w:szCs w:val="28"/>
        </w:rPr>
        <w:t xml:space="preserve">New Developments and Challenges, </w:t>
      </w:r>
      <w:r w:rsidR="00074EC8" w:rsidRPr="005918D5">
        <w:rPr>
          <w:szCs w:val="28"/>
        </w:rPr>
        <w:t>Further Work</w:t>
      </w:r>
    </w:p>
    <w:p w14:paraId="56D23C53" w14:textId="73AFF61B" w:rsidR="00014237" w:rsidRPr="005918D5" w:rsidRDefault="00014237" w:rsidP="00DF4684">
      <w:pPr>
        <w:pStyle w:val="BodyText"/>
        <w:spacing w:after="120" w:line="360" w:lineRule="auto"/>
        <w:rPr>
          <w:bCs/>
          <w:sz w:val="22"/>
        </w:rPr>
      </w:pPr>
      <w:r w:rsidRPr="005918D5">
        <w:rPr>
          <w:bCs/>
          <w:sz w:val="22"/>
        </w:rPr>
        <w:t>Developments in legislative, research</w:t>
      </w:r>
      <w:r w:rsidR="00C52BFA" w:rsidRPr="005918D5">
        <w:rPr>
          <w:bCs/>
          <w:sz w:val="22"/>
        </w:rPr>
        <w:t>,</w:t>
      </w:r>
      <w:r w:rsidRPr="005918D5">
        <w:rPr>
          <w:bCs/>
          <w:sz w:val="22"/>
        </w:rPr>
        <w:t xml:space="preserve"> and modelling processes </w:t>
      </w:r>
      <w:r w:rsidR="00C52BFA" w:rsidRPr="005918D5">
        <w:rPr>
          <w:bCs/>
          <w:sz w:val="22"/>
        </w:rPr>
        <w:t>that</w:t>
      </w:r>
      <w:r w:rsidRPr="005918D5">
        <w:rPr>
          <w:bCs/>
          <w:sz w:val="22"/>
        </w:rPr>
        <w:t xml:space="preserve"> enhance the growth of marine bio-diversity liability insurance markets are too recent </w:t>
      </w:r>
      <w:r w:rsidR="00C52BFA" w:rsidRPr="005918D5">
        <w:rPr>
          <w:bCs/>
          <w:sz w:val="22"/>
        </w:rPr>
        <w:t xml:space="preserve">to generate </w:t>
      </w:r>
      <w:r w:rsidRPr="005918D5">
        <w:rPr>
          <w:bCs/>
          <w:sz w:val="22"/>
        </w:rPr>
        <w:t xml:space="preserve">some definitive pronouncements </w:t>
      </w:r>
      <w:r w:rsidR="009B6746" w:rsidRPr="005918D5">
        <w:rPr>
          <w:bCs/>
          <w:sz w:val="22"/>
        </w:rPr>
        <w:t xml:space="preserve">from the data </w:t>
      </w:r>
      <w:r w:rsidRPr="005918D5">
        <w:rPr>
          <w:bCs/>
          <w:sz w:val="22"/>
        </w:rPr>
        <w:t xml:space="preserve">on their effectiveness. Nevertheless, progress is evident in the increased exchange in information such as </w:t>
      </w:r>
      <w:r w:rsidR="00C52BFA" w:rsidRPr="005918D5">
        <w:rPr>
          <w:bCs/>
          <w:sz w:val="22"/>
        </w:rPr>
        <w:t xml:space="preserve">in </w:t>
      </w:r>
      <w:r w:rsidRPr="005918D5">
        <w:rPr>
          <w:bCs/>
          <w:sz w:val="22"/>
        </w:rPr>
        <w:t>discussion of methodologies and proposed risk metrics, raw historical data, policy papers</w:t>
      </w:r>
      <w:r w:rsidR="00C52BFA" w:rsidRPr="005918D5">
        <w:rPr>
          <w:bCs/>
          <w:sz w:val="22"/>
        </w:rPr>
        <w:t>,</w:t>
      </w:r>
      <w:r w:rsidRPr="005918D5">
        <w:rPr>
          <w:bCs/>
          <w:sz w:val="22"/>
        </w:rPr>
        <w:t xml:space="preserve"> and proposals among key stakeholders</w:t>
      </w:r>
      <w:r w:rsidR="00C52BFA" w:rsidRPr="005918D5">
        <w:rPr>
          <w:bCs/>
          <w:sz w:val="22"/>
        </w:rPr>
        <w:t>, which include</w:t>
      </w:r>
      <w:r w:rsidRPr="005918D5">
        <w:rPr>
          <w:bCs/>
          <w:sz w:val="22"/>
        </w:rPr>
        <w:t xml:space="preserve"> operators, government experts and agencies, academic and research institutions, and financial and insurance firms. The very publication of research articles, white papers</w:t>
      </w:r>
      <w:r w:rsidR="00C52BFA" w:rsidRPr="005918D5">
        <w:rPr>
          <w:bCs/>
          <w:sz w:val="22"/>
        </w:rPr>
        <w:t xml:space="preserve"> on policy,</w:t>
      </w:r>
      <w:r w:rsidRPr="005918D5">
        <w:rPr>
          <w:bCs/>
          <w:sz w:val="22"/>
        </w:rPr>
        <w:t xml:space="preserve"> and empirical studies serves to raise awareness of needed actions towards the development of this market segment. As with any new emerging market, the definition of initial conditions – ‘baseline condition’</w:t>
      </w:r>
      <w:r w:rsidR="00C52BFA" w:rsidRPr="005918D5">
        <w:rPr>
          <w:bCs/>
          <w:sz w:val="22"/>
        </w:rPr>
        <w:t xml:space="preserve"> –</w:t>
      </w:r>
      <w:r w:rsidRPr="005918D5">
        <w:rPr>
          <w:bCs/>
          <w:sz w:val="22"/>
        </w:rPr>
        <w:t xml:space="preserve"> needs to be critically</w:t>
      </w:r>
      <w:r w:rsidR="00C52BFA" w:rsidRPr="005918D5">
        <w:rPr>
          <w:bCs/>
          <w:sz w:val="22"/>
        </w:rPr>
        <w:t xml:space="preserve"> and equivalently</w:t>
      </w:r>
      <w:r w:rsidRPr="005918D5">
        <w:rPr>
          <w:bCs/>
          <w:sz w:val="22"/>
        </w:rPr>
        <w:t xml:space="preserve"> interpreted among national and local agencies and governments</w:t>
      </w:r>
      <w:r w:rsidR="00C52BFA" w:rsidRPr="005918D5">
        <w:rPr>
          <w:bCs/>
          <w:sz w:val="22"/>
        </w:rPr>
        <w:t>,</w:t>
      </w:r>
      <w:r w:rsidRPr="005918D5">
        <w:rPr>
          <w:bCs/>
          <w:sz w:val="22"/>
        </w:rPr>
        <w:t xml:space="preserve"> and respectively by local and multi-national operators. The same critical acceptance and agreement holds true for more complex concepts and risk metrics, including modelled and probabilistic metrics on ‘significant environmental damage’ and ‘marine bio-diversity damage’. </w:t>
      </w:r>
    </w:p>
    <w:p w14:paraId="554EB694" w14:textId="79EB64FC" w:rsidR="00014237" w:rsidRPr="005918D5" w:rsidRDefault="00014237" w:rsidP="00DF4684">
      <w:pPr>
        <w:pStyle w:val="BodyText"/>
        <w:spacing w:after="120" w:line="360" w:lineRule="auto"/>
        <w:rPr>
          <w:sz w:val="22"/>
        </w:rPr>
      </w:pPr>
      <w:r w:rsidRPr="005918D5">
        <w:rPr>
          <w:sz w:val="22"/>
        </w:rPr>
        <w:t xml:space="preserve">At the same time, local and national governments have a less well-discussed role as facilitators, and one critical aspect of it is </w:t>
      </w:r>
      <w:r w:rsidR="009B6746" w:rsidRPr="005918D5">
        <w:rPr>
          <w:sz w:val="22"/>
        </w:rPr>
        <w:t xml:space="preserve">their role in </w:t>
      </w:r>
      <w:r w:rsidRPr="005918D5">
        <w:rPr>
          <w:sz w:val="22"/>
        </w:rPr>
        <w:t xml:space="preserve">the collection of data and physical metrics of ELD registered cases and </w:t>
      </w:r>
      <w:r w:rsidR="00C52BFA" w:rsidRPr="005918D5">
        <w:rPr>
          <w:sz w:val="22"/>
        </w:rPr>
        <w:t xml:space="preserve">the </w:t>
      </w:r>
      <w:r w:rsidRPr="005918D5">
        <w:rPr>
          <w:sz w:val="22"/>
        </w:rPr>
        <w:t xml:space="preserve">building </w:t>
      </w:r>
      <w:r w:rsidR="00C52BFA" w:rsidRPr="005918D5">
        <w:rPr>
          <w:sz w:val="22"/>
        </w:rPr>
        <w:t>of</w:t>
      </w:r>
      <w:r w:rsidRPr="005918D5">
        <w:rPr>
          <w:sz w:val="22"/>
        </w:rPr>
        <w:t xml:space="preserve"> databases</w:t>
      </w:r>
      <w:r w:rsidR="00501D2B" w:rsidRPr="005918D5">
        <w:rPr>
          <w:sz w:val="22"/>
        </w:rPr>
        <w:t xml:space="preserve"> available to academic and research institutions</w:t>
      </w:r>
      <w:r w:rsidRPr="005918D5">
        <w:rPr>
          <w:sz w:val="22"/>
        </w:rPr>
        <w:t>. On a positive note, between 2007 and 2014, member states have reported 1,245 registered cases, albeit unevenly across nation-states, of environmental damage of both marine, water, and land origin, which invoked the legal application of the ELD. At the EU level, a </w:t>
      </w:r>
      <w:r w:rsidRPr="005918D5">
        <w:rPr>
          <w:rStyle w:val="Emphasis"/>
          <w:i w:val="0"/>
          <w:sz w:val="22"/>
        </w:rPr>
        <w:t>centralized</w:t>
      </w:r>
      <w:r w:rsidRPr="005918D5">
        <w:rPr>
          <w:sz w:val="22"/>
        </w:rPr>
        <w:t xml:space="preserve"> ELD case data repository system</w:t>
      </w:r>
      <w:r w:rsidR="008F51D6" w:rsidRPr="005918D5">
        <w:rPr>
          <w:bCs/>
          <w:sz w:val="22"/>
        </w:rPr>
        <w:t xml:space="preserve"> </w:t>
      </w:r>
      <w:r w:rsidRPr="005918D5">
        <w:rPr>
          <w:sz w:val="22"/>
        </w:rPr>
        <w:t>with public and academic access is much needed and will invariably further academic research, including the development of quantitative risk models and policy proposals. These are all components that encourage growth in insurance markets and coverage penetration for commercial and industrial operations.</w:t>
      </w:r>
    </w:p>
    <w:p w14:paraId="4CDDAD75" w14:textId="69F07298" w:rsidR="00014237" w:rsidRPr="005918D5" w:rsidRDefault="00014237" w:rsidP="00DF4684">
      <w:pPr>
        <w:pStyle w:val="BodyText"/>
        <w:spacing w:after="120" w:line="360" w:lineRule="auto"/>
        <w:rPr>
          <w:bCs/>
          <w:sz w:val="22"/>
        </w:rPr>
      </w:pPr>
      <w:r w:rsidRPr="005918D5">
        <w:rPr>
          <w:bCs/>
          <w:sz w:val="22"/>
        </w:rPr>
        <w:t>On the legislative side of the market, the all-important choice to make is whether to move towards a mandatory system of environmental and marine coverage liability. For now, the European Commission has taken the position that at present, there is not enough evidence that a mandatory system of financial security is both necessary</w:t>
      </w:r>
      <w:r w:rsidR="00501D2B" w:rsidRPr="005918D5">
        <w:rPr>
          <w:bCs/>
          <w:sz w:val="22"/>
        </w:rPr>
        <w:t xml:space="preserve"> and</w:t>
      </w:r>
      <w:r w:rsidRPr="005918D5">
        <w:rPr>
          <w:bCs/>
          <w:sz w:val="22"/>
        </w:rPr>
        <w:t xml:space="preserve"> could be made successfully operational. After all, experience has proved that </w:t>
      </w:r>
      <w:r w:rsidR="00501D2B" w:rsidRPr="005918D5">
        <w:rPr>
          <w:bCs/>
          <w:sz w:val="22"/>
        </w:rPr>
        <w:t xml:space="preserve">the </w:t>
      </w:r>
      <w:r w:rsidRPr="005918D5">
        <w:rPr>
          <w:bCs/>
          <w:sz w:val="22"/>
        </w:rPr>
        <w:t xml:space="preserve">enforcement of legislation across countries is the more challenging, demanding, and prone to disappointment process rather than developing and adopting policy proposals. </w:t>
      </w:r>
      <w:r w:rsidR="00501D2B" w:rsidRPr="005918D5">
        <w:rPr>
          <w:bCs/>
          <w:sz w:val="22"/>
        </w:rPr>
        <w:t>The r</w:t>
      </w:r>
      <w:r w:rsidRPr="005918D5">
        <w:rPr>
          <w:bCs/>
          <w:sz w:val="22"/>
        </w:rPr>
        <w:t>e-evaluation of options will continue, particularly</w:t>
      </w:r>
      <w:r w:rsidR="00501D2B" w:rsidRPr="005918D5">
        <w:rPr>
          <w:bCs/>
          <w:sz w:val="22"/>
        </w:rPr>
        <w:t xml:space="preserve"> for</w:t>
      </w:r>
      <w:r w:rsidRPr="005918D5">
        <w:rPr>
          <w:bCs/>
          <w:sz w:val="22"/>
        </w:rPr>
        <w:t xml:space="preserve"> the option of </w:t>
      </w:r>
      <w:r w:rsidR="00501D2B" w:rsidRPr="005918D5">
        <w:rPr>
          <w:bCs/>
          <w:sz w:val="22"/>
        </w:rPr>
        <w:t xml:space="preserve">local and national governments managing mandatory financial </w:t>
      </w:r>
      <w:r w:rsidR="00501D2B" w:rsidRPr="005918D5">
        <w:rPr>
          <w:bCs/>
          <w:sz w:val="22"/>
        </w:rPr>
        <w:lastRenderedPageBreak/>
        <w:t>security systems instead of doing so at the supra-national level</w:t>
      </w:r>
      <w:r w:rsidRPr="005918D5">
        <w:rPr>
          <w:bCs/>
          <w:sz w:val="22"/>
        </w:rPr>
        <w:t>. It is evident that there is a need for convergence on definitions and quantitative metrics</w:t>
      </w:r>
      <w:r w:rsidR="00501D2B" w:rsidRPr="005918D5">
        <w:rPr>
          <w:bCs/>
          <w:sz w:val="22"/>
        </w:rPr>
        <w:t>,</w:t>
      </w:r>
      <w:r w:rsidRPr="005918D5">
        <w:rPr>
          <w:bCs/>
          <w:sz w:val="22"/>
        </w:rPr>
        <w:t xml:space="preserve"> such as ‘thresholds of significant environmental damage’.</w:t>
      </w:r>
    </w:p>
    <w:p w14:paraId="699E2897" w14:textId="01F0E395" w:rsidR="00014237" w:rsidRPr="005918D5" w:rsidRDefault="00014237" w:rsidP="00DF4684">
      <w:pPr>
        <w:pStyle w:val="BodyText"/>
        <w:spacing w:after="120" w:line="360" w:lineRule="auto"/>
        <w:rPr>
          <w:bCs/>
          <w:sz w:val="22"/>
        </w:rPr>
      </w:pPr>
      <w:r w:rsidRPr="005918D5">
        <w:rPr>
          <w:bCs/>
          <w:sz w:val="22"/>
        </w:rPr>
        <w:t xml:space="preserve">A more pressing need than the evolution towards mandatory environmental financial security is the resolution and closure of gaps in the present system of marine environmental coverage. </w:t>
      </w:r>
      <w:r w:rsidR="00501D2B" w:rsidRPr="005918D5">
        <w:rPr>
          <w:bCs/>
          <w:sz w:val="22"/>
        </w:rPr>
        <w:t>The d</w:t>
      </w:r>
      <w:r w:rsidRPr="005918D5">
        <w:rPr>
          <w:bCs/>
          <w:sz w:val="22"/>
        </w:rPr>
        <w:t xml:space="preserve">amage to biodiversity and requirements for remediation of the marine environment due to oil spills and energy industry industrial accidents is not yet adequately addressed. Current EU legislation defines environmental damage as </w:t>
      </w:r>
      <w:r w:rsidR="00501D2B" w:rsidRPr="005918D5">
        <w:rPr>
          <w:bCs/>
          <w:sz w:val="22"/>
        </w:rPr>
        <w:t xml:space="preserve">the </w:t>
      </w:r>
      <w:r w:rsidRPr="005918D5">
        <w:rPr>
          <w:bCs/>
          <w:sz w:val="22"/>
        </w:rPr>
        <w:t xml:space="preserve">damage to soils, water, natural habitats, and protected species, which leaves unprotected species and the general marine coastal environment outside of many requirements and regulations. </w:t>
      </w:r>
    </w:p>
    <w:p w14:paraId="34CE0A41" w14:textId="777C913D" w:rsidR="00ED3A5B" w:rsidRPr="005918D5" w:rsidRDefault="00014237" w:rsidP="00DF4684">
      <w:pPr>
        <w:spacing w:after="120" w:line="360" w:lineRule="auto"/>
        <w:jc w:val="both"/>
        <w:rPr>
          <w:sz w:val="22"/>
        </w:rPr>
      </w:pPr>
      <w:r w:rsidRPr="005918D5">
        <w:rPr>
          <w:bCs/>
          <w:sz w:val="22"/>
        </w:rPr>
        <w:t xml:space="preserve">Of the three critical costs </w:t>
      </w:r>
      <w:r w:rsidR="00501D2B" w:rsidRPr="005918D5">
        <w:rPr>
          <w:bCs/>
          <w:sz w:val="22"/>
        </w:rPr>
        <w:t>for</w:t>
      </w:r>
      <w:r w:rsidRPr="005918D5">
        <w:rPr>
          <w:bCs/>
          <w:sz w:val="22"/>
        </w:rPr>
        <w:t xml:space="preserve"> marine environmental damage – infraction, administrative</w:t>
      </w:r>
      <w:r w:rsidR="00501D2B" w:rsidRPr="005918D5">
        <w:rPr>
          <w:bCs/>
          <w:sz w:val="22"/>
        </w:rPr>
        <w:t>,</w:t>
      </w:r>
      <w:r w:rsidRPr="005918D5">
        <w:rPr>
          <w:bCs/>
          <w:sz w:val="22"/>
        </w:rPr>
        <w:t xml:space="preserve"> and remediation – the latter can be reduced by financial and insurance instruments. The purchase for environmental liability insurance by European companies, including </w:t>
      </w:r>
      <w:r w:rsidR="009B6746" w:rsidRPr="005918D5">
        <w:rPr>
          <w:bCs/>
          <w:sz w:val="22"/>
        </w:rPr>
        <w:t xml:space="preserve">a </w:t>
      </w:r>
      <w:r w:rsidRPr="005918D5">
        <w:rPr>
          <w:bCs/>
          <w:sz w:val="22"/>
        </w:rPr>
        <w:t>coverage for the marine environment</w:t>
      </w:r>
      <w:r w:rsidR="009B6746" w:rsidRPr="005918D5">
        <w:rPr>
          <w:bCs/>
          <w:sz w:val="22"/>
        </w:rPr>
        <w:t>,</w:t>
      </w:r>
      <w:r w:rsidRPr="005918D5">
        <w:rPr>
          <w:bCs/>
          <w:sz w:val="22"/>
        </w:rPr>
        <w:t xml:space="preserve"> has increased by 13.6% since 2006. Still, demand is low, and insurance market growth and penetration are slow. The registration and reporting of insufficient numbers of ELD cases in many countries is a possible impediment to insurance market growth. Eleven-member states have not reported any ELD cases, since </w:t>
      </w:r>
      <w:r w:rsidR="004C20E6" w:rsidRPr="005918D5">
        <w:rPr>
          <w:bCs/>
          <w:sz w:val="22"/>
        </w:rPr>
        <w:t xml:space="preserve">its </w:t>
      </w:r>
      <w:r w:rsidRPr="005918D5">
        <w:rPr>
          <w:bCs/>
          <w:sz w:val="22"/>
        </w:rPr>
        <w:t>legislative implementation in 2007. This non-reporting by member-states is undoubtedly linked to the harmonization of the implementation, and actual or perceived lack of conceptual clarity</w:t>
      </w:r>
      <w:r w:rsidR="004C20E6" w:rsidRPr="005918D5">
        <w:rPr>
          <w:bCs/>
          <w:sz w:val="22"/>
        </w:rPr>
        <w:t>. T</w:t>
      </w:r>
      <w:r w:rsidRPr="005918D5">
        <w:rPr>
          <w:bCs/>
          <w:sz w:val="22"/>
        </w:rPr>
        <w:t>he directive among national legislators is, in fact, the second impediment to insurance market growth. Harmonization and synchronicity play an intricate role not only among national and regional legislation within the EU, but also across the conventions of the International Maritime Organisation (IMO). For marine bio-diversity hazard risk factors, such as oil pollution from tankers, there is more than one level of conventions and mechani</w:t>
      </w:r>
      <w:r w:rsidR="004C20E6" w:rsidRPr="005918D5">
        <w:rPr>
          <w:bCs/>
          <w:sz w:val="22"/>
        </w:rPr>
        <w:t>sms</w:t>
      </w:r>
      <w:r w:rsidRPr="005918D5">
        <w:rPr>
          <w:bCs/>
          <w:sz w:val="22"/>
        </w:rPr>
        <w:t xml:space="preserve"> of compensation and remediation, which introduce a need for additional efforts in harmonization.</w:t>
      </w:r>
    </w:p>
    <w:p w14:paraId="62EBF3C5" w14:textId="77777777" w:rsidR="00ED3A5B" w:rsidRPr="005918D5" w:rsidRDefault="00ED3A5B" w:rsidP="00DF4684">
      <w:pPr>
        <w:spacing w:after="120" w:line="360" w:lineRule="auto"/>
        <w:jc w:val="both"/>
        <w:rPr>
          <w:sz w:val="22"/>
        </w:rPr>
      </w:pPr>
    </w:p>
    <w:p w14:paraId="6D98A12B" w14:textId="77777777" w:rsidR="00441E98" w:rsidRPr="005918D5" w:rsidRDefault="00441E98" w:rsidP="00DF4684">
      <w:pPr>
        <w:spacing w:after="120" w:line="360" w:lineRule="auto"/>
        <w:jc w:val="both"/>
        <w:rPr>
          <w:sz w:val="22"/>
        </w:rPr>
      </w:pPr>
    </w:p>
    <w:p w14:paraId="6B5A026F" w14:textId="6CECDA54" w:rsidR="0FBFB3CD" w:rsidRPr="005918D5" w:rsidRDefault="0FBFB3CD" w:rsidP="00DF4684">
      <w:pPr>
        <w:spacing w:after="120" w:line="360" w:lineRule="auto"/>
        <w:rPr>
          <w:sz w:val="22"/>
        </w:rPr>
      </w:pPr>
      <w:r w:rsidRPr="005918D5">
        <w:rPr>
          <w:sz w:val="22"/>
        </w:rPr>
        <w:br w:type="page"/>
      </w:r>
    </w:p>
    <w:p w14:paraId="459C7026" w14:textId="77777777" w:rsidR="00ED3A5B" w:rsidRPr="005918D5" w:rsidRDefault="001B60B4" w:rsidP="00DF4684">
      <w:pPr>
        <w:spacing w:after="120" w:line="360" w:lineRule="auto"/>
        <w:jc w:val="both"/>
        <w:rPr>
          <w:szCs w:val="28"/>
        </w:rPr>
      </w:pPr>
      <w:r w:rsidRPr="005918D5">
        <w:rPr>
          <w:szCs w:val="28"/>
        </w:rPr>
        <w:lastRenderedPageBreak/>
        <w:t xml:space="preserve">References </w:t>
      </w:r>
    </w:p>
    <w:p w14:paraId="5997CC1D" w14:textId="2BE83072" w:rsidR="00D82ACB" w:rsidRPr="005918D5" w:rsidRDefault="00970580" w:rsidP="00B423CC">
      <w:pPr>
        <w:rPr>
          <w:sz w:val="22"/>
        </w:rPr>
      </w:pPr>
      <w:r w:rsidRPr="005918D5">
        <w:rPr>
          <w:sz w:val="22"/>
        </w:rPr>
        <w:t xml:space="preserve">Coroner, F. (2006). </w:t>
      </w:r>
      <w:r w:rsidRPr="005918D5">
        <w:rPr>
          <w:iCs/>
          <w:sz w:val="22"/>
        </w:rPr>
        <w:t xml:space="preserve">Environmental Liability Directive, how well are member states handling transposition. </w:t>
      </w:r>
      <w:r w:rsidRPr="005918D5">
        <w:rPr>
          <w:i/>
          <w:sz w:val="22"/>
        </w:rPr>
        <w:t>Environmental Liability, 4</w:t>
      </w:r>
      <w:r w:rsidRPr="005918D5">
        <w:rPr>
          <w:sz w:val="22"/>
        </w:rPr>
        <w:t>(14).</w:t>
      </w:r>
    </w:p>
    <w:p w14:paraId="0597536B" w14:textId="77777777" w:rsidR="00970580" w:rsidRPr="005918D5" w:rsidRDefault="00970580" w:rsidP="00B423CC">
      <w:pPr>
        <w:rPr>
          <w:sz w:val="22"/>
        </w:rPr>
      </w:pPr>
    </w:p>
    <w:p w14:paraId="6A97D057" w14:textId="5B928802" w:rsidR="00B447C7" w:rsidRPr="005918D5" w:rsidRDefault="00B447C7" w:rsidP="00B423CC">
      <w:pPr>
        <w:rPr>
          <w:sz w:val="22"/>
        </w:rPr>
      </w:pPr>
      <w:r w:rsidRPr="005918D5">
        <w:rPr>
          <w:sz w:val="22"/>
        </w:rPr>
        <w:t xml:space="preserve">European Commission </w:t>
      </w:r>
      <w:r w:rsidR="00B1157C" w:rsidRPr="005918D5">
        <w:rPr>
          <w:sz w:val="22"/>
        </w:rPr>
        <w:t>(1994).</w:t>
      </w:r>
      <w:r w:rsidRPr="005918D5">
        <w:rPr>
          <w:sz w:val="22"/>
        </w:rPr>
        <w:t xml:space="preserve"> </w:t>
      </w:r>
      <w:r w:rsidRPr="005918D5">
        <w:rPr>
          <w:i/>
          <w:iCs/>
          <w:sz w:val="22"/>
        </w:rPr>
        <w:t>Green Paper on Remedying Environmental Damage</w:t>
      </w:r>
      <w:r w:rsidR="309855B8" w:rsidRPr="005918D5">
        <w:rPr>
          <w:i/>
          <w:iCs/>
          <w:sz w:val="22"/>
        </w:rPr>
        <w:t xml:space="preserve">, </w:t>
      </w:r>
      <w:r w:rsidR="260B4595" w:rsidRPr="005918D5">
        <w:rPr>
          <w:sz w:val="22"/>
        </w:rPr>
        <w:t>[</w:t>
      </w:r>
      <w:r w:rsidR="309855B8" w:rsidRPr="005918D5">
        <w:rPr>
          <w:sz w:val="22"/>
        </w:rPr>
        <w:t>Com (9</w:t>
      </w:r>
      <w:r w:rsidR="2FE1875A" w:rsidRPr="005918D5">
        <w:rPr>
          <w:sz w:val="22"/>
        </w:rPr>
        <w:t>4</w:t>
      </w:r>
      <w:r w:rsidR="309855B8" w:rsidRPr="005918D5">
        <w:rPr>
          <w:sz w:val="22"/>
        </w:rPr>
        <w:t>)</w:t>
      </w:r>
      <w:r w:rsidR="260B4595" w:rsidRPr="005918D5">
        <w:rPr>
          <w:sz w:val="22"/>
        </w:rPr>
        <w:t xml:space="preserve"> 47]</w:t>
      </w:r>
      <w:r w:rsidR="5EEC307C" w:rsidRPr="005918D5">
        <w:rPr>
          <w:sz w:val="22"/>
        </w:rPr>
        <w:t>, Koninklijke Vermande BV, Lelystad, The Netherlands</w:t>
      </w:r>
      <w:r w:rsidR="00970580" w:rsidRPr="005918D5">
        <w:rPr>
          <w:sz w:val="22"/>
        </w:rPr>
        <w:t>.</w:t>
      </w:r>
    </w:p>
    <w:p w14:paraId="110FFD37" w14:textId="77777777" w:rsidR="00600FD1" w:rsidRPr="005918D5" w:rsidRDefault="00600FD1" w:rsidP="00B423CC">
      <w:pPr>
        <w:rPr>
          <w:sz w:val="22"/>
        </w:rPr>
      </w:pPr>
    </w:p>
    <w:p w14:paraId="6B699379" w14:textId="6103F292" w:rsidR="006C01B0" w:rsidRPr="005918D5" w:rsidRDefault="00B447C7" w:rsidP="00B423CC">
      <w:pPr>
        <w:rPr>
          <w:sz w:val="22"/>
        </w:rPr>
      </w:pPr>
      <w:r w:rsidRPr="005918D5">
        <w:rPr>
          <w:sz w:val="22"/>
        </w:rPr>
        <w:t xml:space="preserve">European Commission </w:t>
      </w:r>
      <w:r w:rsidR="00970580" w:rsidRPr="005918D5">
        <w:rPr>
          <w:sz w:val="22"/>
        </w:rPr>
        <w:t>(</w:t>
      </w:r>
      <w:r w:rsidRPr="005918D5">
        <w:rPr>
          <w:sz w:val="22"/>
        </w:rPr>
        <w:t>2000</w:t>
      </w:r>
      <w:r w:rsidR="00970580" w:rsidRPr="005918D5">
        <w:rPr>
          <w:sz w:val="22"/>
        </w:rPr>
        <w:t>).</w:t>
      </w:r>
      <w:r w:rsidRPr="005918D5">
        <w:rPr>
          <w:sz w:val="22"/>
        </w:rPr>
        <w:t xml:space="preserve"> </w:t>
      </w:r>
      <w:r w:rsidR="00C573DA" w:rsidRPr="005918D5">
        <w:rPr>
          <w:i/>
          <w:iCs/>
          <w:sz w:val="22"/>
        </w:rPr>
        <w:t>White Paper on Environmental L</w:t>
      </w:r>
      <w:r w:rsidRPr="005918D5">
        <w:rPr>
          <w:i/>
          <w:iCs/>
          <w:sz w:val="22"/>
        </w:rPr>
        <w:t>iability</w:t>
      </w:r>
      <w:r w:rsidR="7C76679A" w:rsidRPr="005918D5">
        <w:rPr>
          <w:i/>
          <w:iCs/>
          <w:sz w:val="22"/>
        </w:rPr>
        <w:t xml:space="preserve">, </w:t>
      </w:r>
      <w:r w:rsidR="7C76679A" w:rsidRPr="005918D5">
        <w:rPr>
          <w:sz w:val="22"/>
        </w:rPr>
        <w:t>Luxembourg: Office for Official Publications of the European Communities, 2000 ISBN 92-828-9179-8</w:t>
      </w:r>
      <w:r w:rsidR="2FE1875A" w:rsidRPr="005918D5">
        <w:rPr>
          <w:sz w:val="22"/>
        </w:rPr>
        <w:t>, 2000</w:t>
      </w:r>
      <w:r w:rsidRPr="005918D5">
        <w:rPr>
          <w:sz w:val="22"/>
        </w:rPr>
        <w:br/>
      </w:r>
    </w:p>
    <w:p w14:paraId="7DBE7A20" w14:textId="42E03543" w:rsidR="006C01B0" w:rsidRPr="005918D5" w:rsidRDefault="006C01B0" w:rsidP="00B423CC">
      <w:pPr>
        <w:rPr>
          <w:sz w:val="22"/>
        </w:rPr>
      </w:pPr>
      <w:r w:rsidRPr="005918D5">
        <w:rPr>
          <w:sz w:val="22"/>
        </w:rPr>
        <w:t>European Commission,</w:t>
      </w:r>
      <w:r w:rsidR="00970580" w:rsidRPr="005918D5">
        <w:rPr>
          <w:sz w:val="22"/>
        </w:rPr>
        <w:t xml:space="preserve"> (2008).</w:t>
      </w:r>
      <w:r w:rsidRPr="005918D5">
        <w:rPr>
          <w:sz w:val="22"/>
        </w:rPr>
        <w:t xml:space="preserve"> </w:t>
      </w:r>
      <w:r w:rsidRPr="005918D5">
        <w:rPr>
          <w:i/>
          <w:iCs/>
          <w:sz w:val="22"/>
        </w:rPr>
        <w:t>Marine Strategy Framework Directive</w:t>
      </w:r>
      <w:r w:rsidRPr="005918D5">
        <w:rPr>
          <w:sz w:val="22"/>
        </w:rPr>
        <w:t>, official Journal of the EU, L164/9</w:t>
      </w:r>
    </w:p>
    <w:p w14:paraId="3FE9F23F" w14:textId="77777777" w:rsidR="00600FD1" w:rsidRPr="005918D5" w:rsidRDefault="00600FD1" w:rsidP="00B423CC">
      <w:pPr>
        <w:rPr>
          <w:sz w:val="22"/>
        </w:rPr>
      </w:pPr>
    </w:p>
    <w:p w14:paraId="2C711BEA" w14:textId="60279CB0" w:rsidR="00A6137D" w:rsidRPr="005918D5" w:rsidRDefault="00B447C7" w:rsidP="00B423CC">
      <w:pPr>
        <w:rPr>
          <w:rStyle w:val="Strong"/>
          <w:b w:val="0"/>
          <w:bCs w:val="0"/>
          <w:sz w:val="22"/>
          <w:lang w:val="en"/>
        </w:rPr>
      </w:pPr>
      <w:r w:rsidRPr="005918D5">
        <w:rPr>
          <w:sz w:val="22"/>
        </w:rPr>
        <w:t xml:space="preserve">European Commission </w:t>
      </w:r>
      <w:r w:rsidR="00970580" w:rsidRPr="005918D5">
        <w:rPr>
          <w:sz w:val="22"/>
        </w:rPr>
        <w:t>(</w:t>
      </w:r>
      <w:r w:rsidRPr="005918D5">
        <w:rPr>
          <w:sz w:val="22"/>
        </w:rPr>
        <w:t>2010</w:t>
      </w:r>
      <w:r w:rsidR="00970580" w:rsidRPr="005918D5">
        <w:rPr>
          <w:sz w:val="22"/>
        </w:rPr>
        <w:t>).</w:t>
      </w:r>
      <w:r w:rsidRPr="005918D5">
        <w:rPr>
          <w:sz w:val="22"/>
        </w:rPr>
        <w:t xml:space="preserve"> </w:t>
      </w:r>
      <w:r w:rsidRPr="005918D5">
        <w:rPr>
          <w:i/>
          <w:iCs/>
          <w:sz w:val="22"/>
        </w:rPr>
        <w:t xml:space="preserve">Report </w:t>
      </w:r>
      <w:r w:rsidRPr="005918D5">
        <w:rPr>
          <w:rStyle w:val="Strong"/>
          <w:b w:val="0"/>
          <w:bCs w:val="0"/>
          <w:i/>
          <w:iCs/>
          <w:sz w:val="22"/>
          <w:lang w:val="en"/>
        </w:rPr>
        <w:t>on the Environmental Liability with regard to the prevention and remedying of environmental damage</w:t>
      </w:r>
      <w:r w:rsidRPr="005918D5">
        <w:rPr>
          <w:rStyle w:val="Strong"/>
          <w:b w:val="0"/>
          <w:bCs w:val="0"/>
          <w:sz w:val="22"/>
          <w:lang w:val="en"/>
        </w:rPr>
        <w:t>, COM (2010) 581 Final</w:t>
      </w:r>
      <w:r w:rsidR="4513122B" w:rsidRPr="005918D5">
        <w:rPr>
          <w:rStyle w:val="Strong"/>
          <w:b w:val="0"/>
          <w:bCs w:val="0"/>
          <w:sz w:val="22"/>
          <w:lang w:val="en"/>
        </w:rPr>
        <w:t>, Brussels, Belgium</w:t>
      </w:r>
      <w:r w:rsidR="00970580" w:rsidRPr="005918D5">
        <w:rPr>
          <w:rStyle w:val="Strong"/>
          <w:b w:val="0"/>
          <w:bCs w:val="0"/>
          <w:sz w:val="22"/>
          <w:lang w:val="en"/>
        </w:rPr>
        <w:t>.</w:t>
      </w:r>
    </w:p>
    <w:p w14:paraId="1F72F646" w14:textId="77777777" w:rsidR="006B1C78" w:rsidRPr="005918D5" w:rsidRDefault="006B1C78" w:rsidP="00B423CC">
      <w:pPr>
        <w:autoSpaceDE w:val="0"/>
        <w:autoSpaceDN w:val="0"/>
        <w:adjustRightInd w:val="0"/>
        <w:rPr>
          <w:rStyle w:val="Strong"/>
          <w:b w:val="0"/>
          <w:sz w:val="22"/>
          <w:lang w:val="en"/>
        </w:rPr>
      </w:pPr>
    </w:p>
    <w:p w14:paraId="4082FD5E" w14:textId="349044C8" w:rsidR="00A6137D" w:rsidRPr="005918D5" w:rsidRDefault="0FE9712B" w:rsidP="00B423CC">
      <w:pPr>
        <w:autoSpaceDE w:val="0"/>
        <w:autoSpaceDN w:val="0"/>
        <w:adjustRightInd w:val="0"/>
        <w:rPr>
          <w:rStyle w:val="Strong"/>
          <w:b w:val="0"/>
          <w:bCs w:val="0"/>
          <w:sz w:val="22"/>
          <w:lang w:val="en-US" w:eastAsia="en-US"/>
        </w:rPr>
      </w:pPr>
      <w:r w:rsidRPr="005918D5">
        <w:rPr>
          <w:rStyle w:val="Strong"/>
          <w:b w:val="0"/>
          <w:bCs w:val="0"/>
          <w:sz w:val="22"/>
          <w:lang w:val="en"/>
        </w:rPr>
        <w:t xml:space="preserve">European Commission staff working paper </w:t>
      </w:r>
      <w:r w:rsidR="00970580" w:rsidRPr="005918D5">
        <w:rPr>
          <w:rStyle w:val="Strong"/>
          <w:b w:val="0"/>
          <w:bCs w:val="0"/>
          <w:sz w:val="22"/>
          <w:lang w:val="en"/>
        </w:rPr>
        <w:t>(</w:t>
      </w:r>
      <w:r w:rsidRPr="005918D5">
        <w:rPr>
          <w:rStyle w:val="Strong"/>
          <w:b w:val="0"/>
          <w:bCs w:val="0"/>
          <w:sz w:val="22"/>
          <w:lang w:val="en"/>
        </w:rPr>
        <w:t>2011</w:t>
      </w:r>
      <w:r w:rsidR="00970580" w:rsidRPr="005918D5">
        <w:rPr>
          <w:rStyle w:val="Strong"/>
          <w:b w:val="0"/>
          <w:bCs w:val="0"/>
          <w:sz w:val="22"/>
          <w:lang w:val="en"/>
        </w:rPr>
        <w:t>).</w:t>
      </w:r>
      <w:r w:rsidRPr="005918D5">
        <w:rPr>
          <w:rStyle w:val="Strong"/>
          <w:b w:val="0"/>
          <w:bCs w:val="0"/>
          <w:sz w:val="22"/>
          <w:lang w:val="en"/>
        </w:rPr>
        <w:t xml:space="preserve"> </w:t>
      </w:r>
      <w:r w:rsidRPr="005918D5">
        <w:rPr>
          <w:i/>
          <w:iCs/>
          <w:sz w:val="22"/>
          <w:lang w:val="en-US" w:eastAsia="en-US"/>
        </w:rPr>
        <w:t>Relationship between the initial assessment of marine waters and the criteria for good environmental status</w:t>
      </w:r>
      <w:r w:rsidRPr="005918D5">
        <w:rPr>
          <w:sz w:val="22"/>
          <w:lang w:val="en-US" w:eastAsia="en-US"/>
        </w:rPr>
        <w:t>, SEC (2011) 1255 final</w:t>
      </w:r>
      <w:r w:rsidR="7BEFEC2E" w:rsidRPr="005918D5">
        <w:rPr>
          <w:sz w:val="22"/>
          <w:lang w:val="en-US" w:eastAsia="en-US"/>
        </w:rPr>
        <w:t xml:space="preserve">, </w:t>
      </w:r>
      <w:r w:rsidR="7BEFEC2E" w:rsidRPr="005918D5">
        <w:rPr>
          <w:sz w:val="22"/>
          <w:lang w:val="en-US"/>
        </w:rPr>
        <w:t>Brussels, Belgium</w:t>
      </w:r>
      <w:r w:rsidR="00970580" w:rsidRPr="005918D5">
        <w:rPr>
          <w:sz w:val="22"/>
          <w:lang w:val="en-US"/>
        </w:rPr>
        <w:t>.</w:t>
      </w:r>
      <w:r w:rsidR="7BEFEC2E" w:rsidRPr="005918D5">
        <w:rPr>
          <w:sz w:val="22"/>
          <w:lang w:val="en-US" w:eastAsia="en-US"/>
        </w:rPr>
        <w:t xml:space="preserve"> </w:t>
      </w:r>
    </w:p>
    <w:p w14:paraId="0B91B52C" w14:textId="67875416" w:rsidR="0FE9712B" w:rsidRPr="005918D5" w:rsidRDefault="0FE9712B" w:rsidP="00B423CC">
      <w:pPr>
        <w:rPr>
          <w:sz w:val="22"/>
          <w:lang w:val="en-US" w:eastAsia="en-US"/>
        </w:rPr>
      </w:pPr>
    </w:p>
    <w:p w14:paraId="54631CDA" w14:textId="75E28453" w:rsidR="0FE9712B" w:rsidRPr="005918D5" w:rsidRDefault="0FE9712B" w:rsidP="00B423CC">
      <w:pPr>
        <w:rPr>
          <w:sz w:val="22"/>
          <w:lang w:val="en-US" w:eastAsia="en-US"/>
        </w:rPr>
      </w:pPr>
      <w:r w:rsidRPr="005918D5">
        <w:rPr>
          <w:sz w:val="22"/>
          <w:lang w:val="en-US" w:eastAsia="en-US"/>
        </w:rPr>
        <w:t xml:space="preserve">European Commission </w:t>
      </w:r>
      <w:r w:rsidR="00970580" w:rsidRPr="005918D5">
        <w:rPr>
          <w:sz w:val="22"/>
          <w:lang w:val="en-US" w:eastAsia="en-US"/>
        </w:rPr>
        <w:t>(</w:t>
      </w:r>
      <w:r w:rsidRPr="005918D5">
        <w:rPr>
          <w:sz w:val="22"/>
          <w:lang w:val="en-US" w:eastAsia="en-US"/>
        </w:rPr>
        <w:t>2013</w:t>
      </w:r>
      <w:r w:rsidR="00970580" w:rsidRPr="005918D5">
        <w:rPr>
          <w:sz w:val="22"/>
          <w:lang w:val="en-US" w:eastAsia="en-US"/>
        </w:rPr>
        <w:t>).</w:t>
      </w:r>
      <w:r w:rsidRPr="005918D5">
        <w:rPr>
          <w:sz w:val="22"/>
          <w:lang w:val="en-US" w:eastAsia="en-US"/>
        </w:rPr>
        <w:t xml:space="preserve"> </w:t>
      </w:r>
      <w:r w:rsidRPr="005918D5">
        <w:rPr>
          <w:i/>
          <w:iCs/>
          <w:sz w:val="22"/>
          <w:lang w:val="en-US" w:eastAsia="en-US"/>
        </w:rPr>
        <w:t>Marine Strategy Framework Directive, Common Implementation Strategy</w:t>
      </w:r>
      <w:r w:rsidRPr="005918D5">
        <w:rPr>
          <w:sz w:val="22"/>
          <w:lang w:val="en-US" w:eastAsia="en-US"/>
        </w:rPr>
        <w:t>, DG Environment, Brussels</w:t>
      </w:r>
      <w:r w:rsidR="057BE4C8" w:rsidRPr="005918D5">
        <w:rPr>
          <w:sz w:val="22"/>
          <w:lang w:val="en-US" w:eastAsia="en-US"/>
        </w:rPr>
        <w:t>, Belgiu</w:t>
      </w:r>
      <w:r w:rsidR="36A85C09" w:rsidRPr="005918D5">
        <w:rPr>
          <w:sz w:val="22"/>
          <w:lang w:val="en-US" w:eastAsia="en-US"/>
        </w:rPr>
        <w:t>m</w:t>
      </w:r>
      <w:r w:rsidR="00970580" w:rsidRPr="005918D5">
        <w:rPr>
          <w:sz w:val="22"/>
          <w:lang w:val="en-US" w:eastAsia="en-US"/>
        </w:rPr>
        <w:t>.</w:t>
      </w:r>
    </w:p>
    <w:p w14:paraId="08CE6F91" w14:textId="77777777" w:rsidR="00E3737C" w:rsidRPr="005918D5" w:rsidRDefault="00E3737C" w:rsidP="00B423CC">
      <w:pPr>
        <w:rPr>
          <w:rStyle w:val="Strong"/>
          <w:b w:val="0"/>
          <w:sz w:val="22"/>
          <w:lang w:val="en"/>
        </w:rPr>
      </w:pPr>
    </w:p>
    <w:p w14:paraId="790B84F6" w14:textId="76751498" w:rsidR="00E3737C" w:rsidRPr="005918D5" w:rsidRDefault="00E3737C" w:rsidP="00B423CC">
      <w:pPr>
        <w:rPr>
          <w:rStyle w:val="Strong"/>
          <w:b w:val="0"/>
          <w:bCs w:val="0"/>
          <w:sz w:val="22"/>
          <w:lang w:val="en-US" w:eastAsia="en-US"/>
        </w:rPr>
      </w:pPr>
      <w:r w:rsidRPr="005918D5">
        <w:rPr>
          <w:sz w:val="22"/>
        </w:rPr>
        <w:t xml:space="preserve">European Commission </w:t>
      </w:r>
      <w:r w:rsidR="00970580" w:rsidRPr="005918D5">
        <w:rPr>
          <w:sz w:val="22"/>
        </w:rPr>
        <w:t>(</w:t>
      </w:r>
      <w:r w:rsidRPr="005918D5">
        <w:rPr>
          <w:sz w:val="22"/>
        </w:rPr>
        <w:t>2014</w:t>
      </w:r>
      <w:r w:rsidR="00970580" w:rsidRPr="005918D5">
        <w:rPr>
          <w:sz w:val="22"/>
        </w:rPr>
        <w:t>a).</w:t>
      </w:r>
      <w:r w:rsidRPr="005918D5">
        <w:rPr>
          <w:sz w:val="22"/>
        </w:rPr>
        <w:t xml:space="preserve"> </w:t>
      </w:r>
      <w:r w:rsidRPr="005918D5">
        <w:rPr>
          <w:i/>
          <w:iCs/>
          <w:sz w:val="22"/>
        </w:rPr>
        <w:t xml:space="preserve">Report </w:t>
      </w:r>
      <w:r w:rsidRPr="005918D5">
        <w:rPr>
          <w:rStyle w:val="Strong"/>
          <w:b w:val="0"/>
          <w:bCs w:val="0"/>
          <w:i/>
          <w:iCs/>
          <w:sz w:val="22"/>
          <w:lang w:val="en"/>
        </w:rPr>
        <w:t>on the Environmental Liability with regard to the prevention and remedying of environmental damage</w:t>
      </w:r>
      <w:r w:rsidRPr="005918D5">
        <w:rPr>
          <w:rStyle w:val="Strong"/>
          <w:b w:val="0"/>
          <w:bCs w:val="0"/>
          <w:sz w:val="22"/>
          <w:lang w:val="en"/>
        </w:rPr>
        <w:t>, COM (2016) 204 Final</w:t>
      </w:r>
      <w:r w:rsidR="36A85C09" w:rsidRPr="005918D5">
        <w:rPr>
          <w:rStyle w:val="Strong"/>
          <w:b w:val="0"/>
          <w:bCs w:val="0"/>
          <w:sz w:val="22"/>
          <w:lang w:val="en"/>
        </w:rPr>
        <w:t xml:space="preserve">, </w:t>
      </w:r>
      <w:r w:rsidR="36A85C09" w:rsidRPr="005918D5">
        <w:rPr>
          <w:sz w:val="22"/>
          <w:lang w:val="en-US"/>
        </w:rPr>
        <w:t>Brussels, Belgium</w:t>
      </w:r>
      <w:r w:rsidR="00970580" w:rsidRPr="005918D5">
        <w:rPr>
          <w:sz w:val="22"/>
          <w:lang w:val="en-US"/>
        </w:rPr>
        <w:t>.</w:t>
      </w:r>
    </w:p>
    <w:p w14:paraId="61CDCEAD" w14:textId="77777777" w:rsidR="00307EC6" w:rsidRPr="005918D5" w:rsidRDefault="00307EC6" w:rsidP="00B423CC">
      <w:pPr>
        <w:rPr>
          <w:rStyle w:val="Strong"/>
          <w:b w:val="0"/>
          <w:bCs w:val="0"/>
          <w:sz w:val="22"/>
          <w:lang w:val="en"/>
        </w:rPr>
      </w:pPr>
    </w:p>
    <w:p w14:paraId="79140810" w14:textId="279C143C" w:rsidR="008B21C3" w:rsidRPr="005918D5" w:rsidRDefault="008B21C3" w:rsidP="00B423CC">
      <w:pPr>
        <w:tabs>
          <w:tab w:val="center" w:pos="4153"/>
        </w:tabs>
        <w:rPr>
          <w:rStyle w:val="Strong"/>
          <w:b w:val="0"/>
          <w:bCs w:val="0"/>
          <w:sz w:val="22"/>
          <w:lang w:val="en"/>
        </w:rPr>
      </w:pPr>
      <w:r w:rsidRPr="005918D5">
        <w:rPr>
          <w:rStyle w:val="Strong"/>
          <w:b w:val="0"/>
          <w:bCs w:val="0"/>
          <w:sz w:val="22"/>
          <w:lang w:val="en"/>
        </w:rPr>
        <w:t xml:space="preserve">European Commission, </w:t>
      </w:r>
      <w:r w:rsidR="00970580" w:rsidRPr="005918D5">
        <w:rPr>
          <w:rStyle w:val="Strong"/>
          <w:b w:val="0"/>
          <w:bCs w:val="0"/>
          <w:sz w:val="22"/>
          <w:lang w:val="en"/>
        </w:rPr>
        <w:t>(</w:t>
      </w:r>
      <w:r w:rsidRPr="005918D5">
        <w:rPr>
          <w:rStyle w:val="Strong"/>
          <w:b w:val="0"/>
          <w:bCs w:val="0"/>
          <w:sz w:val="22"/>
          <w:lang w:val="en"/>
        </w:rPr>
        <w:t>2014</w:t>
      </w:r>
      <w:r w:rsidR="00970580" w:rsidRPr="005918D5">
        <w:rPr>
          <w:rStyle w:val="Strong"/>
          <w:b w:val="0"/>
          <w:bCs w:val="0"/>
          <w:sz w:val="22"/>
          <w:lang w:val="en"/>
        </w:rPr>
        <w:t>b)</w:t>
      </w:r>
      <w:r w:rsidRPr="005918D5">
        <w:rPr>
          <w:rStyle w:val="Strong"/>
          <w:b w:val="0"/>
          <w:bCs w:val="0"/>
          <w:sz w:val="22"/>
          <w:lang w:val="en"/>
        </w:rPr>
        <w:t xml:space="preserve">, </w:t>
      </w:r>
      <w:r w:rsidRPr="005918D5">
        <w:rPr>
          <w:rStyle w:val="Strong"/>
          <w:b w:val="0"/>
          <w:bCs w:val="0"/>
          <w:i/>
          <w:iCs/>
          <w:sz w:val="22"/>
          <w:lang w:val="en"/>
        </w:rPr>
        <w:t>Experienced gained in the application of ELD biodiversity damage</w:t>
      </w:r>
      <w:r w:rsidRPr="005918D5">
        <w:rPr>
          <w:rStyle w:val="Strong"/>
          <w:b w:val="0"/>
          <w:bCs w:val="0"/>
          <w:sz w:val="22"/>
          <w:lang w:val="en"/>
        </w:rPr>
        <w:t xml:space="preserve">, </w:t>
      </w:r>
      <w:r w:rsidR="65424A9E" w:rsidRPr="005918D5">
        <w:rPr>
          <w:rStyle w:val="Strong"/>
          <w:b w:val="0"/>
          <w:bCs w:val="0"/>
          <w:sz w:val="22"/>
          <w:lang w:val="en"/>
        </w:rPr>
        <w:t xml:space="preserve">DGD for the Environment, </w:t>
      </w:r>
      <w:r w:rsidR="65424A9E" w:rsidRPr="005918D5">
        <w:rPr>
          <w:sz w:val="22"/>
          <w:lang w:val="en"/>
        </w:rPr>
        <w:t>Brussels, Belgium</w:t>
      </w:r>
      <w:r w:rsidR="00970580" w:rsidRPr="005918D5">
        <w:rPr>
          <w:sz w:val="22"/>
          <w:lang w:val="en"/>
        </w:rPr>
        <w:t>.</w:t>
      </w:r>
    </w:p>
    <w:p w14:paraId="6BB9E253" w14:textId="77777777" w:rsidR="008B21C3" w:rsidRPr="005918D5" w:rsidRDefault="008B21C3" w:rsidP="00B423CC">
      <w:pPr>
        <w:tabs>
          <w:tab w:val="center" w:pos="4153"/>
        </w:tabs>
        <w:rPr>
          <w:rStyle w:val="Strong"/>
          <w:b w:val="0"/>
          <w:sz w:val="22"/>
          <w:lang w:val="en"/>
        </w:rPr>
      </w:pPr>
      <w:r w:rsidRPr="005918D5">
        <w:rPr>
          <w:rStyle w:val="Strong"/>
          <w:b w:val="0"/>
          <w:sz w:val="22"/>
          <w:lang w:val="en"/>
        </w:rPr>
        <w:tab/>
      </w:r>
    </w:p>
    <w:p w14:paraId="6FAC84D3" w14:textId="29C10B87" w:rsidR="00307EC6" w:rsidRPr="005918D5" w:rsidRDefault="00307EC6" w:rsidP="00B423CC">
      <w:pPr>
        <w:rPr>
          <w:sz w:val="22"/>
        </w:rPr>
      </w:pPr>
      <w:r w:rsidRPr="005918D5">
        <w:rPr>
          <w:sz w:val="22"/>
        </w:rPr>
        <w:t>Embrechts, P. (2004)</w:t>
      </w:r>
      <w:r w:rsidR="00970580" w:rsidRPr="005918D5">
        <w:rPr>
          <w:sz w:val="22"/>
        </w:rPr>
        <w:t>.</w:t>
      </w:r>
      <w:r w:rsidRPr="005918D5">
        <w:rPr>
          <w:sz w:val="22"/>
        </w:rPr>
        <w:t xml:space="preserve"> </w:t>
      </w:r>
      <w:r w:rsidRPr="005918D5">
        <w:rPr>
          <w:i/>
          <w:iCs/>
          <w:sz w:val="22"/>
        </w:rPr>
        <w:t>Extremes and integrated risk management</w:t>
      </w:r>
      <w:r w:rsidRPr="005918D5">
        <w:rPr>
          <w:sz w:val="22"/>
        </w:rPr>
        <w:t>, Risk Books, Haymarket House, London</w:t>
      </w:r>
      <w:r w:rsidR="5F4712CB" w:rsidRPr="005918D5">
        <w:rPr>
          <w:sz w:val="22"/>
        </w:rPr>
        <w:t xml:space="preserve"> 2004.</w:t>
      </w:r>
    </w:p>
    <w:p w14:paraId="23DE523C" w14:textId="77777777" w:rsidR="00307EC6" w:rsidRPr="005918D5" w:rsidRDefault="00307EC6" w:rsidP="00B423CC">
      <w:pPr>
        <w:rPr>
          <w:rStyle w:val="Strong"/>
          <w:b w:val="0"/>
          <w:sz w:val="22"/>
          <w:lang w:val="en"/>
        </w:rPr>
      </w:pPr>
    </w:p>
    <w:p w14:paraId="52E56223" w14:textId="77777777" w:rsidR="00307EC6" w:rsidRPr="005918D5" w:rsidRDefault="00307EC6" w:rsidP="00B423CC">
      <w:pPr>
        <w:rPr>
          <w:i/>
          <w:iCs/>
          <w:sz w:val="22"/>
        </w:rPr>
      </w:pPr>
    </w:p>
    <w:p w14:paraId="77F67C21" w14:textId="5ED3BED1" w:rsidR="00307EC6" w:rsidRPr="005918D5" w:rsidRDefault="0FE9712B" w:rsidP="00B423CC">
      <w:pPr>
        <w:rPr>
          <w:sz w:val="22"/>
        </w:rPr>
      </w:pPr>
      <w:r w:rsidRPr="005918D5">
        <w:rPr>
          <w:sz w:val="22"/>
        </w:rPr>
        <w:t xml:space="preserve">Faure </w:t>
      </w:r>
      <w:r w:rsidR="40E062DB" w:rsidRPr="005918D5">
        <w:rPr>
          <w:sz w:val="22"/>
        </w:rPr>
        <w:t xml:space="preserve">M. </w:t>
      </w:r>
      <w:r w:rsidRPr="005918D5">
        <w:rPr>
          <w:sz w:val="22"/>
        </w:rPr>
        <w:t>and Grimeaud</w:t>
      </w:r>
      <w:r w:rsidR="40E062DB" w:rsidRPr="005918D5">
        <w:rPr>
          <w:sz w:val="22"/>
        </w:rPr>
        <w:t xml:space="preserve"> D</w:t>
      </w:r>
      <w:r w:rsidR="00970580" w:rsidRPr="005918D5">
        <w:rPr>
          <w:sz w:val="22"/>
        </w:rPr>
        <w:t>.</w:t>
      </w:r>
      <w:r w:rsidRPr="005918D5">
        <w:rPr>
          <w:sz w:val="22"/>
        </w:rPr>
        <w:t xml:space="preserve"> </w:t>
      </w:r>
      <w:r w:rsidR="00970580" w:rsidRPr="005918D5">
        <w:rPr>
          <w:sz w:val="22"/>
        </w:rPr>
        <w:t>(</w:t>
      </w:r>
      <w:r w:rsidRPr="005918D5">
        <w:rPr>
          <w:sz w:val="22"/>
        </w:rPr>
        <w:t>2010</w:t>
      </w:r>
      <w:r w:rsidR="00970580" w:rsidRPr="005918D5">
        <w:rPr>
          <w:sz w:val="22"/>
        </w:rPr>
        <w:t>).</w:t>
      </w:r>
      <w:r w:rsidRPr="005918D5">
        <w:rPr>
          <w:sz w:val="22"/>
        </w:rPr>
        <w:t xml:space="preserve"> </w:t>
      </w:r>
      <w:r w:rsidRPr="005918D5">
        <w:rPr>
          <w:i/>
          <w:iCs/>
          <w:sz w:val="22"/>
        </w:rPr>
        <w:t>Financial assurance issues of environmental liability</w:t>
      </w:r>
      <w:r w:rsidRPr="005918D5">
        <w:rPr>
          <w:sz w:val="22"/>
        </w:rPr>
        <w:t>, Maastricht University</w:t>
      </w:r>
      <w:r w:rsidR="2A9D9B15" w:rsidRPr="005918D5">
        <w:rPr>
          <w:sz w:val="22"/>
        </w:rPr>
        <w:t xml:space="preserve"> Press</w:t>
      </w:r>
      <w:r w:rsidRPr="005918D5">
        <w:rPr>
          <w:sz w:val="22"/>
        </w:rPr>
        <w:t xml:space="preserve">, </w:t>
      </w:r>
      <w:r w:rsidR="2A9D9B15" w:rsidRPr="005918D5">
        <w:rPr>
          <w:sz w:val="22"/>
        </w:rPr>
        <w:t xml:space="preserve">Maastricht, </w:t>
      </w:r>
      <w:r w:rsidR="420C96F4" w:rsidRPr="005918D5">
        <w:rPr>
          <w:sz w:val="22"/>
        </w:rPr>
        <w:t>Belgium</w:t>
      </w:r>
      <w:r w:rsidR="40015DBB" w:rsidRPr="005918D5">
        <w:rPr>
          <w:sz w:val="22"/>
        </w:rPr>
        <w:t xml:space="preserve">, </w:t>
      </w:r>
      <w:r w:rsidRPr="005918D5">
        <w:rPr>
          <w:sz w:val="22"/>
        </w:rPr>
        <w:t>2010</w:t>
      </w:r>
    </w:p>
    <w:p w14:paraId="7660C4A1" w14:textId="441BB80C" w:rsidR="00307EC6" w:rsidRPr="005918D5" w:rsidRDefault="00307EC6" w:rsidP="00B423CC">
      <w:pPr>
        <w:rPr>
          <w:sz w:val="22"/>
        </w:rPr>
      </w:pPr>
    </w:p>
    <w:p w14:paraId="76708563" w14:textId="06C9F5A6" w:rsidR="00834538" w:rsidRPr="005918D5" w:rsidRDefault="00834538" w:rsidP="00B423CC">
      <w:pPr>
        <w:rPr>
          <w:sz w:val="22"/>
        </w:rPr>
      </w:pPr>
      <w:r w:rsidRPr="005918D5">
        <w:rPr>
          <w:sz w:val="22"/>
        </w:rPr>
        <w:t>Rose, K. A., Allen, J. I., Artiol, Y., Barange, M., Blackford, J., Carlotti, F., et al. (2010). End-to-end models for the analysis of marine ecosystems: challenges, issues, and next steps. Mar. Coast. Fish. Dyn. Manage. Ecosyst. Sci 2, 115–130. doi: 10.1577/c09-059.1</w:t>
      </w:r>
    </w:p>
    <w:p w14:paraId="62C7FF92" w14:textId="77777777" w:rsidR="00834538" w:rsidRPr="005918D5" w:rsidRDefault="00834538" w:rsidP="00B423CC">
      <w:pPr>
        <w:rPr>
          <w:sz w:val="22"/>
        </w:rPr>
      </w:pPr>
    </w:p>
    <w:p w14:paraId="3D212C5B" w14:textId="7C4C3835" w:rsidR="00307EC6" w:rsidRPr="005918D5" w:rsidRDefault="0FE9712B" w:rsidP="00B423CC">
      <w:pPr>
        <w:pStyle w:val="Heading1"/>
        <w:rPr>
          <w:i w:val="0"/>
          <w:iCs w:val="0"/>
          <w:sz w:val="22"/>
        </w:rPr>
      </w:pPr>
      <w:r w:rsidRPr="005918D5">
        <w:rPr>
          <w:i w:val="0"/>
          <w:iCs w:val="0"/>
          <w:sz w:val="22"/>
        </w:rPr>
        <w:t>Rouillard, J. et al</w:t>
      </w:r>
      <w:r w:rsidR="00970580" w:rsidRPr="005918D5">
        <w:rPr>
          <w:i w:val="0"/>
          <w:iCs w:val="0"/>
          <w:sz w:val="22"/>
        </w:rPr>
        <w:t>.</w:t>
      </w:r>
      <w:r w:rsidRPr="005918D5">
        <w:rPr>
          <w:i w:val="0"/>
          <w:iCs w:val="0"/>
          <w:sz w:val="22"/>
        </w:rPr>
        <w:t xml:space="preserve"> </w:t>
      </w:r>
      <w:r w:rsidR="00970580" w:rsidRPr="005918D5">
        <w:rPr>
          <w:i w:val="0"/>
          <w:iCs w:val="0"/>
          <w:sz w:val="22"/>
        </w:rPr>
        <w:t>(</w:t>
      </w:r>
      <w:r w:rsidRPr="005918D5">
        <w:rPr>
          <w:i w:val="0"/>
          <w:iCs w:val="0"/>
          <w:sz w:val="22"/>
        </w:rPr>
        <w:t>2018</w:t>
      </w:r>
      <w:r w:rsidR="00970580" w:rsidRPr="005918D5">
        <w:rPr>
          <w:i w:val="0"/>
          <w:iCs w:val="0"/>
          <w:sz w:val="22"/>
        </w:rPr>
        <w:t>).</w:t>
      </w:r>
      <w:r w:rsidRPr="005918D5">
        <w:rPr>
          <w:i w:val="0"/>
          <w:iCs w:val="0"/>
          <w:sz w:val="22"/>
        </w:rPr>
        <w:t xml:space="preserve"> </w:t>
      </w:r>
      <w:r w:rsidRPr="005918D5">
        <w:rPr>
          <w:sz w:val="22"/>
        </w:rPr>
        <w:t>Protecting aquatic biodiversity in Europe: How much do EU environmental policies support ecosystem-based management</w:t>
      </w:r>
      <w:r w:rsidRPr="005918D5">
        <w:rPr>
          <w:i w:val="0"/>
          <w:iCs w:val="0"/>
          <w:sz w:val="22"/>
        </w:rPr>
        <w:t>? Ambio, Springer, February 2018</w:t>
      </w:r>
      <w:r w:rsidR="00970580" w:rsidRPr="005918D5">
        <w:rPr>
          <w:i w:val="0"/>
          <w:iCs w:val="0"/>
          <w:sz w:val="22"/>
        </w:rPr>
        <w:t>.</w:t>
      </w:r>
    </w:p>
    <w:p w14:paraId="07547A01" w14:textId="7C6736F1" w:rsidR="00307EC6" w:rsidRPr="005918D5" w:rsidRDefault="00307EC6" w:rsidP="00B423CC">
      <w:pPr>
        <w:rPr>
          <w:sz w:val="22"/>
        </w:rPr>
      </w:pPr>
    </w:p>
    <w:p w14:paraId="1EB3A846" w14:textId="1ABA45DE" w:rsidR="00367920" w:rsidRPr="005918D5" w:rsidRDefault="00367920" w:rsidP="00B423CC">
      <w:pPr>
        <w:rPr>
          <w:sz w:val="22"/>
        </w:rPr>
      </w:pPr>
      <w:r w:rsidRPr="005918D5">
        <w:rPr>
          <w:sz w:val="22"/>
          <w:lang w:val="fr-FR"/>
        </w:rPr>
        <w:t>Smith, C. J.</w:t>
      </w:r>
      <w:r w:rsidR="00A31CCA" w:rsidRPr="005918D5">
        <w:rPr>
          <w:sz w:val="22"/>
          <w:lang w:val="fr-FR"/>
        </w:rPr>
        <w:t>, Papadopoulou, K.-N,</w:t>
      </w:r>
      <w:r w:rsidRPr="005918D5">
        <w:rPr>
          <w:sz w:val="22"/>
          <w:lang w:val="fr-FR"/>
        </w:rPr>
        <w:t xml:space="preserve"> et a</w:t>
      </w:r>
      <w:r w:rsidR="00421E4E" w:rsidRPr="005918D5">
        <w:rPr>
          <w:sz w:val="22"/>
          <w:lang w:val="fr-FR"/>
        </w:rPr>
        <w:t>l</w:t>
      </w:r>
      <w:r w:rsidR="00970580" w:rsidRPr="005918D5">
        <w:rPr>
          <w:sz w:val="22"/>
          <w:lang w:val="fr-FR"/>
        </w:rPr>
        <w:t>.</w:t>
      </w:r>
      <w:r w:rsidR="00421E4E" w:rsidRPr="005918D5">
        <w:rPr>
          <w:sz w:val="22"/>
          <w:lang w:val="fr-FR"/>
        </w:rPr>
        <w:t xml:space="preserve"> </w:t>
      </w:r>
      <w:r w:rsidR="00970580" w:rsidRPr="005918D5">
        <w:rPr>
          <w:sz w:val="22"/>
        </w:rPr>
        <w:t>(</w:t>
      </w:r>
      <w:r w:rsidR="00421E4E" w:rsidRPr="005918D5">
        <w:rPr>
          <w:sz w:val="22"/>
        </w:rPr>
        <w:t>2016</w:t>
      </w:r>
      <w:r w:rsidR="00970580" w:rsidRPr="005918D5">
        <w:rPr>
          <w:sz w:val="22"/>
        </w:rPr>
        <w:t>).</w:t>
      </w:r>
      <w:r w:rsidR="00421E4E" w:rsidRPr="005918D5">
        <w:rPr>
          <w:sz w:val="22"/>
        </w:rPr>
        <w:t xml:space="preserve"> </w:t>
      </w:r>
      <w:r w:rsidRPr="005918D5">
        <w:rPr>
          <w:sz w:val="22"/>
        </w:rPr>
        <w:t>Managing the Marine Environment, Conceptual Models and Assessment Considerations for the European Marine Strategy Framework Directive</w:t>
      </w:r>
      <w:r w:rsidR="00421E4E" w:rsidRPr="005918D5">
        <w:rPr>
          <w:sz w:val="22"/>
        </w:rPr>
        <w:t xml:space="preserve">, </w:t>
      </w:r>
      <w:r w:rsidR="00421E4E" w:rsidRPr="005918D5">
        <w:rPr>
          <w:i/>
          <w:sz w:val="22"/>
        </w:rPr>
        <w:t>Frontiers in Marine Science</w:t>
      </w:r>
      <w:r w:rsidR="00421E4E" w:rsidRPr="005918D5">
        <w:rPr>
          <w:sz w:val="22"/>
        </w:rPr>
        <w:t xml:space="preserve">, </w:t>
      </w:r>
      <w:r w:rsidR="00970580" w:rsidRPr="005918D5">
        <w:rPr>
          <w:i/>
          <w:sz w:val="22"/>
        </w:rPr>
        <w:t>3</w:t>
      </w:r>
      <w:r w:rsidR="00970580" w:rsidRPr="005918D5">
        <w:rPr>
          <w:sz w:val="22"/>
        </w:rPr>
        <w:t>(144).</w:t>
      </w:r>
    </w:p>
    <w:p w14:paraId="169AB634" w14:textId="484C9D91" w:rsidR="00CC0A3B" w:rsidRPr="005918D5" w:rsidRDefault="00CC0A3B" w:rsidP="00B423CC">
      <w:pPr>
        <w:rPr>
          <w:sz w:val="22"/>
        </w:rPr>
      </w:pPr>
    </w:p>
    <w:p w14:paraId="3E4591C0" w14:textId="7DF27C5F" w:rsidR="00CC0A3B" w:rsidRPr="005918D5" w:rsidRDefault="00CC0A3B" w:rsidP="00B423CC">
      <w:pPr>
        <w:rPr>
          <w:sz w:val="22"/>
        </w:rPr>
      </w:pPr>
      <w:r w:rsidRPr="005918D5">
        <w:rPr>
          <w:sz w:val="22"/>
        </w:rPr>
        <w:t>Smith, C.</w:t>
      </w:r>
      <w:r w:rsidR="00057315" w:rsidRPr="005918D5">
        <w:rPr>
          <w:sz w:val="22"/>
        </w:rPr>
        <w:t xml:space="preserve"> J.</w:t>
      </w:r>
      <w:r w:rsidRPr="005918D5">
        <w:rPr>
          <w:sz w:val="22"/>
        </w:rPr>
        <w:t>, Papadopoulou, K.-N., Barnard, S., Mazik, K., Patrício, J., Elliott, M., et al. (2014). Conceptual Models for the Effects of Marine Pressures on Biodiversity. DEVOTES Deliverable 1.1. Devotes FP7 Project. 80, http://www.devotes-project.eu/wp-content/uploads/2014/06/DEVOTES-D1-1-ConceptualModels.pdf</w:t>
      </w:r>
    </w:p>
    <w:p w14:paraId="7D0EC8B4" w14:textId="77777777" w:rsidR="00367920" w:rsidRPr="005918D5" w:rsidRDefault="00367920" w:rsidP="00B423CC">
      <w:pPr>
        <w:rPr>
          <w:sz w:val="22"/>
        </w:rPr>
      </w:pPr>
    </w:p>
    <w:p w14:paraId="5BD77A2C" w14:textId="4E047169" w:rsidR="00307EC6" w:rsidRPr="005918D5" w:rsidRDefault="00307EC6" w:rsidP="00B423CC">
      <w:pPr>
        <w:rPr>
          <w:sz w:val="22"/>
        </w:rPr>
      </w:pPr>
      <w:r w:rsidRPr="005918D5">
        <w:rPr>
          <w:sz w:val="22"/>
        </w:rPr>
        <w:t xml:space="preserve">Swiss Re Corporation </w:t>
      </w:r>
      <w:r w:rsidR="00970580" w:rsidRPr="005918D5">
        <w:rPr>
          <w:sz w:val="22"/>
        </w:rPr>
        <w:t>(</w:t>
      </w:r>
      <w:r w:rsidRPr="005918D5">
        <w:rPr>
          <w:sz w:val="22"/>
        </w:rPr>
        <w:t>2002</w:t>
      </w:r>
      <w:r w:rsidR="00970580" w:rsidRPr="005918D5">
        <w:rPr>
          <w:sz w:val="22"/>
        </w:rPr>
        <w:t>).</w:t>
      </w:r>
      <w:r w:rsidRPr="005918D5">
        <w:rPr>
          <w:sz w:val="22"/>
        </w:rPr>
        <w:t xml:space="preserve"> </w:t>
      </w:r>
      <w:r w:rsidRPr="005918D5">
        <w:rPr>
          <w:iCs/>
          <w:sz w:val="22"/>
        </w:rPr>
        <w:t>Working Paper on Legally Binding Instruments of Civil Liability</w:t>
      </w:r>
      <w:r w:rsidR="40015DBB" w:rsidRPr="005918D5">
        <w:rPr>
          <w:iCs/>
          <w:sz w:val="22"/>
        </w:rPr>
        <w:t>, Zurich, Switzerland, 200</w:t>
      </w:r>
      <w:r w:rsidR="387F3D95" w:rsidRPr="005918D5">
        <w:rPr>
          <w:iCs/>
          <w:sz w:val="22"/>
        </w:rPr>
        <w:t>2</w:t>
      </w:r>
      <w:r w:rsidR="00970580" w:rsidRPr="005918D5">
        <w:rPr>
          <w:iCs/>
          <w:sz w:val="22"/>
        </w:rPr>
        <w:t>.</w:t>
      </w:r>
    </w:p>
    <w:p w14:paraId="5043CB0F" w14:textId="2DF40C94" w:rsidR="00ED3A5B" w:rsidRDefault="00ED3A5B" w:rsidP="00080384">
      <w:pPr>
        <w:pStyle w:val="FootnoteText"/>
        <w:tabs>
          <w:tab w:val="left" w:pos="5940"/>
        </w:tabs>
        <w:rPr>
          <w:sz w:val="22"/>
          <w:szCs w:val="24"/>
        </w:rPr>
      </w:pPr>
    </w:p>
    <w:p w14:paraId="06936196" w14:textId="655AB62F" w:rsidR="00080384" w:rsidRDefault="00080384" w:rsidP="00080384">
      <w:pPr>
        <w:pStyle w:val="FootnoteText"/>
        <w:tabs>
          <w:tab w:val="left" w:pos="5940"/>
        </w:tabs>
        <w:rPr>
          <w:sz w:val="22"/>
          <w:szCs w:val="24"/>
        </w:rPr>
      </w:pPr>
    </w:p>
    <w:p w14:paraId="640C2228" w14:textId="2BF699CF" w:rsidR="00080384" w:rsidRPr="00080384" w:rsidRDefault="00080384" w:rsidP="00594D3C">
      <w:pPr>
        <w:pStyle w:val="FootnoteText"/>
        <w:tabs>
          <w:tab w:val="left" w:pos="5940"/>
        </w:tabs>
        <w:rPr>
          <w:b/>
          <w:sz w:val="22"/>
          <w:szCs w:val="24"/>
        </w:rPr>
      </w:pPr>
      <w:r w:rsidRPr="00080384">
        <w:rPr>
          <w:b/>
          <w:sz w:val="22"/>
          <w:szCs w:val="24"/>
        </w:rPr>
        <w:t xml:space="preserve">List of Tables and Figures </w:t>
      </w:r>
    </w:p>
    <w:p w14:paraId="77074CFD" w14:textId="5AB91103" w:rsidR="00080384" w:rsidRPr="00080384" w:rsidRDefault="00080384" w:rsidP="00080384">
      <w:pPr>
        <w:pStyle w:val="FootnoteText"/>
        <w:tabs>
          <w:tab w:val="left" w:pos="5940"/>
        </w:tabs>
        <w:rPr>
          <w:b/>
          <w:i/>
          <w:sz w:val="22"/>
          <w:szCs w:val="24"/>
        </w:rPr>
      </w:pPr>
    </w:p>
    <w:p w14:paraId="21010E4A" w14:textId="00587A7D" w:rsidR="00080384" w:rsidRDefault="00080384" w:rsidP="00080384">
      <w:pPr>
        <w:pStyle w:val="FootnoteText"/>
        <w:tabs>
          <w:tab w:val="left" w:pos="5940"/>
        </w:tabs>
        <w:spacing w:line="360" w:lineRule="auto"/>
        <w:rPr>
          <w:b/>
          <w:i/>
          <w:sz w:val="22"/>
          <w:szCs w:val="24"/>
        </w:rPr>
      </w:pPr>
      <w:r w:rsidRPr="00080384">
        <w:rPr>
          <w:b/>
          <w:i/>
          <w:sz w:val="22"/>
          <w:szCs w:val="24"/>
        </w:rPr>
        <w:t>Figures</w:t>
      </w:r>
    </w:p>
    <w:p w14:paraId="7A35B5B0" w14:textId="77777777" w:rsidR="00080384" w:rsidRPr="00080384" w:rsidRDefault="00080384" w:rsidP="00080384">
      <w:pPr>
        <w:pStyle w:val="FootnoteText"/>
        <w:tabs>
          <w:tab w:val="left" w:pos="5940"/>
        </w:tabs>
        <w:spacing w:line="360" w:lineRule="auto"/>
        <w:rPr>
          <w:sz w:val="22"/>
          <w:lang w:val="en-CA"/>
        </w:rPr>
      </w:pPr>
      <w:r w:rsidRPr="00080384">
        <w:rPr>
          <w:sz w:val="22"/>
          <w:lang w:val="en-CA"/>
        </w:rPr>
        <w:t>Figure 8.1: Timelines, components, and dependencies in GES 2020</w:t>
      </w:r>
    </w:p>
    <w:p w14:paraId="79882016" w14:textId="77777777" w:rsidR="00080384" w:rsidRPr="00080384" w:rsidRDefault="00080384" w:rsidP="00080384">
      <w:pPr>
        <w:pStyle w:val="FootnoteText"/>
        <w:tabs>
          <w:tab w:val="left" w:pos="5940"/>
        </w:tabs>
        <w:spacing w:line="360" w:lineRule="auto"/>
        <w:rPr>
          <w:sz w:val="22"/>
          <w:lang w:val="en-CA"/>
        </w:rPr>
      </w:pPr>
      <w:r w:rsidRPr="00080384">
        <w:rPr>
          <w:sz w:val="22"/>
          <w:lang w:val="en-CA"/>
        </w:rPr>
        <w:t>Figure 8.2: Activity-to-damage liability relations: EU Commision white paper on environmental liability</w:t>
      </w:r>
    </w:p>
    <w:p w14:paraId="7643F5A2" w14:textId="77777777" w:rsidR="00080384" w:rsidRPr="00080384" w:rsidRDefault="00080384" w:rsidP="00080384">
      <w:pPr>
        <w:pStyle w:val="FootnoteText"/>
        <w:tabs>
          <w:tab w:val="left" w:pos="5940"/>
        </w:tabs>
        <w:spacing w:line="360" w:lineRule="auto"/>
        <w:rPr>
          <w:sz w:val="22"/>
          <w:lang w:val="en-CA"/>
        </w:rPr>
      </w:pPr>
      <w:r w:rsidRPr="00080384">
        <w:rPr>
          <w:sz w:val="22"/>
          <w:lang w:val="en-CA"/>
        </w:rPr>
        <w:t>Figure 8.3: Requirements for an operational insurance market for marine biodiversity liability</w:t>
      </w:r>
    </w:p>
    <w:p w14:paraId="28333B9E" w14:textId="77777777" w:rsidR="00080384" w:rsidRPr="00080384" w:rsidRDefault="00080384" w:rsidP="00080384">
      <w:pPr>
        <w:pStyle w:val="FootnoteText"/>
        <w:tabs>
          <w:tab w:val="left" w:pos="5940"/>
        </w:tabs>
        <w:spacing w:line="360" w:lineRule="auto"/>
        <w:rPr>
          <w:sz w:val="22"/>
          <w:lang w:val="en-CA"/>
        </w:rPr>
      </w:pPr>
      <w:r w:rsidRPr="00080384">
        <w:rPr>
          <w:sz w:val="22"/>
          <w:lang w:val="en-CA"/>
        </w:rPr>
        <w:t xml:space="preserve">Figure 8.4: Measuring, Modelling and Statistical Algorithmic Stages in a Bio-Diversity Damage Quantitative Risk Model </w:t>
      </w:r>
    </w:p>
    <w:p w14:paraId="07F08E1B" w14:textId="77777777" w:rsidR="00080384" w:rsidRPr="00080384" w:rsidRDefault="00080384" w:rsidP="00080384">
      <w:pPr>
        <w:pStyle w:val="FootnoteText"/>
        <w:tabs>
          <w:tab w:val="left" w:pos="5940"/>
        </w:tabs>
        <w:spacing w:line="360" w:lineRule="auto"/>
        <w:rPr>
          <w:b/>
          <w:i/>
          <w:sz w:val="22"/>
          <w:szCs w:val="24"/>
        </w:rPr>
      </w:pPr>
    </w:p>
    <w:sectPr w:rsidR="00080384" w:rsidRPr="00080384" w:rsidSect="00EA4393">
      <w:headerReference w:type="even" r:id="rId22"/>
      <w:headerReference w:type="default" r:id="rId23"/>
      <w:footerReference w:type="even" r:id="rId24"/>
      <w:footerReference w:type="default" r:id="rId25"/>
      <w:headerReference w:type="first" r:id="rId26"/>
      <w:footerReference w:type="first" r:id="rId2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27A56" w14:textId="77777777" w:rsidR="00C36C3D" w:rsidRDefault="00C36C3D">
      <w:r>
        <w:separator/>
      </w:r>
    </w:p>
  </w:endnote>
  <w:endnote w:type="continuationSeparator" w:id="0">
    <w:p w14:paraId="3F7E9B0A" w14:textId="77777777" w:rsidR="00C36C3D" w:rsidRDefault="00C36C3D">
      <w:r>
        <w:continuationSeparator/>
      </w:r>
    </w:p>
  </w:endnote>
  <w:endnote w:type="continuationNotice" w:id="1">
    <w:p w14:paraId="0A2DE6F1" w14:textId="77777777" w:rsidR="00C36C3D" w:rsidRDefault="00C36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28121" w14:textId="77777777" w:rsidR="00D90F37" w:rsidRDefault="00D90F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459315" w14:textId="77777777" w:rsidR="00D90F37" w:rsidRDefault="00D90F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DDEC3" w14:textId="50D7C455" w:rsidR="00D90F37" w:rsidRDefault="00D90F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4D3C">
      <w:rPr>
        <w:rStyle w:val="PageNumber"/>
        <w:noProof/>
      </w:rPr>
      <w:t>23</w:t>
    </w:r>
    <w:r>
      <w:rPr>
        <w:rStyle w:val="PageNumber"/>
      </w:rPr>
      <w:fldChar w:fldCharType="end"/>
    </w:r>
  </w:p>
  <w:p w14:paraId="144A5D23" w14:textId="77777777" w:rsidR="00D90F37" w:rsidRDefault="00D90F3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56DEA" w14:textId="77777777" w:rsidR="00D90F37" w:rsidRDefault="00D90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0776C" w14:textId="77777777" w:rsidR="00C36C3D" w:rsidRDefault="00C36C3D">
      <w:r>
        <w:separator/>
      </w:r>
    </w:p>
  </w:footnote>
  <w:footnote w:type="continuationSeparator" w:id="0">
    <w:p w14:paraId="565763BF" w14:textId="77777777" w:rsidR="00C36C3D" w:rsidRDefault="00C36C3D">
      <w:r>
        <w:continuationSeparator/>
      </w:r>
    </w:p>
  </w:footnote>
  <w:footnote w:type="continuationNotice" w:id="1">
    <w:p w14:paraId="4E73DFDC" w14:textId="77777777" w:rsidR="00C36C3D" w:rsidRDefault="00C36C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F3736" w14:textId="77777777" w:rsidR="00D90F37" w:rsidRDefault="00D90F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0F30E" w14:textId="77777777" w:rsidR="00D90F37" w:rsidRDefault="00D90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BDB1E" w14:textId="77777777" w:rsidR="00D90F37" w:rsidRDefault="00D90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B369E"/>
    <w:multiLevelType w:val="hybridMultilevel"/>
    <w:tmpl w:val="8EE0A5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1912A0"/>
    <w:multiLevelType w:val="multilevel"/>
    <w:tmpl w:val="5874AEBA"/>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7B51F3E"/>
    <w:multiLevelType w:val="hybridMultilevel"/>
    <w:tmpl w:val="7E54E65E"/>
    <w:lvl w:ilvl="0" w:tplc="4768CF74">
      <w:start w:val="1"/>
      <w:numFmt w:val="bullet"/>
      <w:lvlText w:val=""/>
      <w:lvlJc w:val="left"/>
      <w:pPr>
        <w:ind w:left="720" w:hanging="360"/>
      </w:pPr>
      <w:rPr>
        <w:rFonts w:ascii="Symbol" w:hAnsi="Symbol" w:hint="default"/>
      </w:rPr>
    </w:lvl>
    <w:lvl w:ilvl="1" w:tplc="46A6C9CE">
      <w:start w:val="1"/>
      <w:numFmt w:val="bullet"/>
      <w:lvlText w:val="o"/>
      <w:lvlJc w:val="left"/>
      <w:pPr>
        <w:ind w:left="1440" w:hanging="360"/>
      </w:pPr>
      <w:rPr>
        <w:rFonts w:ascii="Courier New" w:hAnsi="Courier New" w:hint="default"/>
      </w:rPr>
    </w:lvl>
    <w:lvl w:ilvl="2" w:tplc="5B80B676">
      <w:start w:val="1"/>
      <w:numFmt w:val="bullet"/>
      <w:lvlText w:val=""/>
      <w:lvlJc w:val="left"/>
      <w:pPr>
        <w:ind w:left="2160" w:hanging="360"/>
      </w:pPr>
      <w:rPr>
        <w:rFonts w:ascii="Wingdings" w:hAnsi="Wingdings" w:hint="default"/>
      </w:rPr>
    </w:lvl>
    <w:lvl w:ilvl="3" w:tplc="4A6682C2">
      <w:start w:val="1"/>
      <w:numFmt w:val="bullet"/>
      <w:lvlText w:val=""/>
      <w:lvlJc w:val="left"/>
      <w:pPr>
        <w:ind w:left="2880" w:hanging="360"/>
      </w:pPr>
      <w:rPr>
        <w:rFonts w:ascii="Symbol" w:hAnsi="Symbol" w:hint="default"/>
      </w:rPr>
    </w:lvl>
    <w:lvl w:ilvl="4" w:tplc="DF264CAE">
      <w:start w:val="1"/>
      <w:numFmt w:val="bullet"/>
      <w:lvlText w:val="o"/>
      <w:lvlJc w:val="left"/>
      <w:pPr>
        <w:ind w:left="3600" w:hanging="360"/>
      </w:pPr>
      <w:rPr>
        <w:rFonts w:ascii="Courier New" w:hAnsi="Courier New" w:hint="default"/>
      </w:rPr>
    </w:lvl>
    <w:lvl w:ilvl="5" w:tplc="2FB6E438">
      <w:start w:val="1"/>
      <w:numFmt w:val="bullet"/>
      <w:lvlText w:val=""/>
      <w:lvlJc w:val="left"/>
      <w:pPr>
        <w:ind w:left="4320" w:hanging="360"/>
      </w:pPr>
      <w:rPr>
        <w:rFonts w:ascii="Wingdings" w:hAnsi="Wingdings" w:hint="default"/>
      </w:rPr>
    </w:lvl>
    <w:lvl w:ilvl="6" w:tplc="E5242B34">
      <w:start w:val="1"/>
      <w:numFmt w:val="bullet"/>
      <w:lvlText w:val=""/>
      <w:lvlJc w:val="left"/>
      <w:pPr>
        <w:ind w:left="5040" w:hanging="360"/>
      </w:pPr>
      <w:rPr>
        <w:rFonts w:ascii="Symbol" w:hAnsi="Symbol" w:hint="default"/>
      </w:rPr>
    </w:lvl>
    <w:lvl w:ilvl="7" w:tplc="D40E9910">
      <w:start w:val="1"/>
      <w:numFmt w:val="bullet"/>
      <w:lvlText w:val="o"/>
      <w:lvlJc w:val="left"/>
      <w:pPr>
        <w:ind w:left="5760" w:hanging="360"/>
      </w:pPr>
      <w:rPr>
        <w:rFonts w:ascii="Courier New" w:hAnsi="Courier New" w:hint="default"/>
      </w:rPr>
    </w:lvl>
    <w:lvl w:ilvl="8" w:tplc="916EACE4">
      <w:start w:val="1"/>
      <w:numFmt w:val="bullet"/>
      <w:lvlText w:val=""/>
      <w:lvlJc w:val="left"/>
      <w:pPr>
        <w:ind w:left="6480" w:hanging="360"/>
      </w:pPr>
      <w:rPr>
        <w:rFonts w:ascii="Wingdings" w:hAnsi="Wingdings" w:hint="default"/>
      </w:rPr>
    </w:lvl>
  </w:abstractNum>
  <w:abstractNum w:abstractNumId="3" w15:restartNumberingAfterBreak="0">
    <w:nsid w:val="2E227E67"/>
    <w:multiLevelType w:val="hybridMultilevel"/>
    <w:tmpl w:val="94003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F819E7"/>
    <w:multiLevelType w:val="hybridMultilevel"/>
    <w:tmpl w:val="B548009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FA57E0"/>
    <w:multiLevelType w:val="hybridMultilevel"/>
    <w:tmpl w:val="90C41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BC5BD2"/>
    <w:multiLevelType w:val="hybridMultilevel"/>
    <w:tmpl w:val="8D28DB04"/>
    <w:lvl w:ilvl="0" w:tplc="6CAEF22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2C647F0"/>
    <w:multiLevelType w:val="hybridMultilevel"/>
    <w:tmpl w:val="14322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2938A7"/>
    <w:multiLevelType w:val="hybridMultilevel"/>
    <w:tmpl w:val="BA889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0"/>
  </w:num>
  <w:num w:numId="5">
    <w:abstractNumId w:val="4"/>
  </w:num>
  <w:num w:numId="6">
    <w:abstractNumId w:val="8"/>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FD3"/>
    <w:rsid w:val="000023DE"/>
    <w:rsid w:val="00011878"/>
    <w:rsid w:val="00014237"/>
    <w:rsid w:val="00016527"/>
    <w:rsid w:val="0002611F"/>
    <w:rsid w:val="00030D81"/>
    <w:rsid w:val="000379B7"/>
    <w:rsid w:val="00040236"/>
    <w:rsid w:val="00041DF6"/>
    <w:rsid w:val="00041F6E"/>
    <w:rsid w:val="00052B0D"/>
    <w:rsid w:val="00057315"/>
    <w:rsid w:val="000613E9"/>
    <w:rsid w:val="00062331"/>
    <w:rsid w:val="00066153"/>
    <w:rsid w:val="00074EC8"/>
    <w:rsid w:val="00080384"/>
    <w:rsid w:val="0008088C"/>
    <w:rsid w:val="00082FAD"/>
    <w:rsid w:val="000921BC"/>
    <w:rsid w:val="0009465A"/>
    <w:rsid w:val="000A61E4"/>
    <w:rsid w:val="000A6D2C"/>
    <w:rsid w:val="000B0341"/>
    <w:rsid w:val="000B660B"/>
    <w:rsid w:val="000C0B18"/>
    <w:rsid w:val="000C0CFF"/>
    <w:rsid w:val="000C2652"/>
    <w:rsid w:val="000C3468"/>
    <w:rsid w:val="000D33FF"/>
    <w:rsid w:val="000E1E65"/>
    <w:rsid w:val="0010637E"/>
    <w:rsid w:val="00106E3C"/>
    <w:rsid w:val="00110F25"/>
    <w:rsid w:val="00111F1D"/>
    <w:rsid w:val="00112BC9"/>
    <w:rsid w:val="00126C71"/>
    <w:rsid w:val="00140ACA"/>
    <w:rsid w:val="001472B0"/>
    <w:rsid w:val="001502DA"/>
    <w:rsid w:val="0016097C"/>
    <w:rsid w:val="00165C5A"/>
    <w:rsid w:val="00176137"/>
    <w:rsid w:val="00180CD4"/>
    <w:rsid w:val="00193A01"/>
    <w:rsid w:val="001A25E9"/>
    <w:rsid w:val="001B47B5"/>
    <w:rsid w:val="001B60B4"/>
    <w:rsid w:val="001C0388"/>
    <w:rsid w:val="001C7F78"/>
    <w:rsid w:val="001E158C"/>
    <w:rsid w:val="001E4009"/>
    <w:rsid w:val="00205F70"/>
    <w:rsid w:val="00212A98"/>
    <w:rsid w:val="002248B4"/>
    <w:rsid w:val="002305CA"/>
    <w:rsid w:val="00231619"/>
    <w:rsid w:val="0023237F"/>
    <w:rsid w:val="00233479"/>
    <w:rsid w:val="00235347"/>
    <w:rsid w:val="00251912"/>
    <w:rsid w:val="00257816"/>
    <w:rsid w:val="00261CC2"/>
    <w:rsid w:val="002622BC"/>
    <w:rsid w:val="00271B87"/>
    <w:rsid w:val="002721BA"/>
    <w:rsid w:val="00273497"/>
    <w:rsid w:val="00277CBD"/>
    <w:rsid w:val="00280E1D"/>
    <w:rsid w:val="00280FD3"/>
    <w:rsid w:val="00281899"/>
    <w:rsid w:val="002942F7"/>
    <w:rsid w:val="002A0889"/>
    <w:rsid w:val="002A6DB7"/>
    <w:rsid w:val="002B0BF8"/>
    <w:rsid w:val="002C179E"/>
    <w:rsid w:val="002C34E9"/>
    <w:rsid w:val="002D43BC"/>
    <w:rsid w:val="002D7933"/>
    <w:rsid w:val="002E6520"/>
    <w:rsid w:val="002F3761"/>
    <w:rsid w:val="002F54DF"/>
    <w:rsid w:val="00300D3C"/>
    <w:rsid w:val="00307EC6"/>
    <w:rsid w:val="00310425"/>
    <w:rsid w:val="00310BCE"/>
    <w:rsid w:val="00312BE6"/>
    <w:rsid w:val="0031645E"/>
    <w:rsid w:val="00321093"/>
    <w:rsid w:val="00326EB7"/>
    <w:rsid w:val="00333FD8"/>
    <w:rsid w:val="00340EE0"/>
    <w:rsid w:val="00350E5C"/>
    <w:rsid w:val="00354741"/>
    <w:rsid w:val="00356A47"/>
    <w:rsid w:val="00357222"/>
    <w:rsid w:val="003632A4"/>
    <w:rsid w:val="00364635"/>
    <w:rsid w:val="00367920"/>
    <w:rsid w:val="00367DD5"/>
    <w:rsid w:val="003805E3"/>
    <w:rsid w:val="00383C80"/>
    <w:rsid w:val="00385AFF"/>
    <w:rsid w:val="00395516"/>
    <w:rsid w:val="003A1C33"/>
    <w:rsid w:val="003A31AE"/>
    <w:rsid w:val="003A5F7A"/>
    <w:rsid w:val="003B07D2"/>
    <w:rsid w:val="003B1994"/>
    <w:rsid w:val="003B5A35"/>
    <w:rsid w:val="003B7117"/>
    <w:rsid w:val="00402B32"/>
    <w:rsid w:val="004100CF"/>
    <w:rsid w:val="00414785"/>
    <w:rsid w:val="0041651E"/>
    <w:rsid w:val="00417A61"/>
    <w:rsid w:val="00421270"/>
    <w:rsid w:val="00421E4E"/>
    <w:rsid w:val="0042608C"/>
    <w:rsid w:val="004303A8"/>
    <w:rsid w:val="00433E89"/>
    <w:rsid w:val="00433F27"/>
    <w:rsid w:val="00441C22"/>
    <w:rsid w:val="00441E98"/>
    <w:rsid w:val="00447BE2"/>
    <w:rsid w:val="004503EA"/>
    <w:rsid w:val="00461E01"/>
    <w:rsid w:val="00462E45"/>
    <w:rsid w:val="00471700"/>
    <w:rsid w:val="004738CB"/>
    <w:rsid w:val="00474B19"/>
    <w:rsid w:val="00474DA2"/>
    <w:rsid w:val="0047621D"/>
    <w:rsid w:val="00482AB2"/>
    <w:rsid w:val="00487B5E"/>
    <w:rsid w:val="0049181C"/>
    <w:rsid w:val="004918D5"/>
    <w:rsid w:val="004938A0"/>
    <w:rsid w:val="00494874"/>
    <w:rsid w:val="004965CF"/>
    <w:rsid w:val="004971FA"/>
    <w:rsid w:val="004A2863"/>
    <w:rsid w:val="004A6C96"/>
    <w:rsid w:val="004B1072"/>
    <w:rsid w:val="004B559B"/>
    <w:rsid w:val="004C1261"/>
    <w:rsid w:val="004C20E6"/>
    <w:rsid w:val="004C73E3"/>
    <w:rsid w:val="004C7609"/>
    <w:rsid w:val="004E26D5"/>
    <w:rsid w:val="004E2E25"/>
    <w:rsid w:val="004E3F69"/>
    <w:rsid w:val="004E764F"/>
    <w:rsid w:val="004F6AF6"/>
    <w:rsid w:val="00501D2B"/>
    <w:rsid w:val="00510292"/>
    <w:rsid w:val="005130B4"/>
    <w:rsid w:val="005133C5"/>
    <w:rsid w:val="00516CED"/>
    <w:rsid w:val="00517393"/>
    <w:rsid w:val="00524193"/>
    <w:rsid w:val="005248C2"/>
    <w:rsid w:val="00532EC4"/>
    <w:rsid w:val="00540751"/>
    <w:rsid w:val="00545F52"/>
    <w:rsid w:val="00555508"/>
    <w:rsid w:val="005620A8"/>
    <w:rsid w:val="00576DF8"/>
    <w:rsid w:val="00577507"/>
    <w:rsid w:val="00577A98"/>
    <w:rsid w:val="005810C9"/>
    <w:rsid w:val="0058360A"/>
    <w:rsid w:val="00584140"/>
    <w:rsid w:val="005879AA"/>
    <w:rsid w:val="005918D5"/>
    <w:rsid w:val="005920B5"/>
    <w:rsid w:val="00593C4B"/>
    <w:rsid w:val="0059404C"/>
    <w:rsid w:val="00594D3C"/>
    <w:rsid w:val="00595527"/>
    <w:rsid w:val="005A6E94"/>
    <w:rsid w:val="005B1DB6"/>
    <w:rsid w:val="005C0992"/>
    <w:rsid w:val="005C1259"/>
    <w:rsid w:val="005C2BC5"/>
    <w:rsid w:val="005C4731"/>
    <w:rsid w:val="005C693A"/>
    <w:rsid w:val="005C7328"/>
    <w:rsid w:val="005C7D7A"/>
    <w:rsid w:val="005D395D"/>
    <w:rsid w:val="005E5392"/>
    <w:rsid w:val="005E68CF"/>
    <w:rsid w:val="005F15D3"/>
    <w:rsid w:val="005F41A1"/>
    <w:rsid w:val="005F52A1"/>
    <w:rsid w:val="00600FD1"/>
    <w:rsid w:val="00605D70"/>
    <w:rsid w:val="0061379D"/>
    <w:rsid w:val="00616212"/>
    <w:rsid w:val="00624D1D"/>
    <w:rsid w:val="00624D72"/>
    <w:rsid w:val="006319B9"/>
    <w:rsid w:val="006413FD"/>
    <w:rsid w:val="0064682A"/>
    <w:rsid w:val="00651CAA"/>
    <w:rsid w:val="00654B4B"/>
    <w:rsid w:val="00663396"/>
    <w:rsid w:val="0066691A"/>
    <w:rsid w:val="006672DF"/>
    <w:rsid w:val="00691DDF"/>
    <w:rsid w:val="006A0BC5"/>
    <w:rsid w:val="006A1644"/>
    <w:rsid w:val="006A3FF9"/>
    <w:rsid w:val="006B1C78"/>
    <w:rsid w:val="006B2E89"/>
    <w:rsid w:val="006B37FE"/>
    <w:rsid w:val="006B4E03"/>
    <w:rsid w:val="006B6663"/>
    <w:rsid w:val="006B687D"/>
    <w:rsid w:val="006C01B0"/>
    <w:rsid w:val="006C18C1"/>
    <w:rsid w:val="006C2162"/>
    <w:rsid w:val="006C3F04"/>
    <w:rsid w:val="006D29AF"/>
    <w:rsid w:val="006F2CF1"/>
    <w:rsid w:val="006F5710"/>
    <w:rsid w:val="00701E03"/>
    <w:rsid w:val="007054D6"/>
    <w:rsid w:val="0072217A"/>
    <w:rsid w:val="007239FF"/>
    <w:rsid w:val="00726AB2"/>
    <w:rsid w:val="00731941"/>
    <w:rsid w:val="00741D9D"/>
    <w:rsid w:val="00753E08"/>
    <w:rsid w:val="007643CA"/>
    <w:rsid w:val="00765CDE"/>
    <w:rsid w:val="00792827"/>
    <w:rsid w:val="00792A02"/>
    <w:rsid w:val="007951D2"/>
    <w:rsid w:val="007970F1"/>
    <w:rsid w:val="0079752F"/>
    <w:rsid w:val="007A09D3"/>
    <w:rsid w:val="007A7B4D"/>
    <w:rsid w:val="007B7A16"/>
    <w:rsid w:val="007C040D"/>
    <w:rsid w:val="007C1BDD"/>
    <w:rsid w:val="007C40E7"/>
    <w:rsid w:val="007C7933"/>
    <w:rsid w:val="007D7ACF"/>
    <w:rsid w:val="007D7E6D"/>
    <w:rsid w:val="007E4104"/>
    <w:rsid w:val="007F3E62"/>
    <w:rsid w:val="008103ED"/>
    <w:rsid w:val="008135B5"/>
    <w:rsid w:val="008252D2"/>
    <w:rsid w:val="00834538"/>
    <w:rsid w:val="00835BE0"/>
    <w:rsid w:val="00846FB1"/>
    <w:rsid w:val="0085719B"/>
    <w:rsid w:val="008670AA"/>
    <w:rsid w:val="008711D4"/>
    <w:rsid w:val="0087187F"/>
    <w:rsid w:val="00873794"/>
    <w:rsid w:val="008743B0"/>
    <w:rsid w:val="0087445D"/>
    <w:rsid w:val="008744AA"/>
    <w:rsid w:val="0088136A"/>
    <w:rsid w:val="0088250B"/>
    <w:rsid w:val="00883251"/>
    <w:rsid w:val="00884E54"/>
    <w:rsid w:val="00897679"/>
    <w:rsid w:val="008B0494"/>
    <w:rsid w:val="008B0509"/>
    <w:rsid w:val="008B21C3"/>
    <w:rsid w:val="008B3A9A"/>
    <w:rsid w:val="008D0D3A"/>
    <w:rsid w:val="008D7563"/>
    <w:rsid w:val="008E0589"/>
    <w:rsid w:val="008E5FD8"/>
    <w:rsid w:val="008E7FCC"/>
    <w:rsid w:val="008F4040"/>
    <w:rsid w:val="008F51D6"/>
    <w:rsid w:val="00900DCD"/>
    <w:rsid w:val="00901E56"/>
    <w:rsid w:val="00905736"/>
    <w:rsid w:val="00912F76"/>
    <w:rsid w:val="00916B06"/>
    <w:rsid w:val="009259DB"/>
    <w:rsid w:val="009331C4"/>
    <w:rsid w:val="00937BBF"/>
    <w:rsid w:val="00943F85"/>
    <w:rsid w:val="00944027"/>
    <w:rsid w:val="009525CA"/>
    <w:rsid w:val="0096085D"/>
    <w:rsid w:val="00965F17"/>
    <w:rsid w:val="00970580"/>
    <w:rsid w:val="00970EF2"/>
    <w:rsid w:val="009807AA"/>
    <w:rsid w:val="009A22D8"/>
    <w:rsid w:val="009B1D75"/>
    <w:rsid w:val="009B1F28"/>
    <w:rsid w:val="009B24A7"/>
    <w:rsid w:val="009B5E85"/>
    <w:rsid w:val="009B6746"/>
    <w:rsid w:val="009C34C7"/>
    <w:rsid w:val="009C7429"/>
    <w:rsid w:val="009C76E2"/>
    <w:rsid w:val="009D32E5"/>
    <w:rsid w:val="009F3B10"/>
    <w:rsid w:val="009F6181"/>
    <w:rsid w:val="00A00F3E"/>
    <w:rsid w:val="00A07078"/>
    <w:rsid w:val="00A27586"/>
    <w:rsid w:val="00A31CCA"/>
    <w:rsid w:val="00A324A9"/>
    <w:rsid w:val="00A4518D"/>
    <w:rsid w:val="00A45F20"/>
    <w:rsid w:val="00A54AFC"/>
    <w:rsid w:val="00A54ED5"/>
    <w:rsid w:val="00A6137D"/>
    <w:rsid w:val="00A63D53"/>
    <w:rsid w:val="00A66569"/>
    <w:rsid w:val="00A80403"/>
    <w:rsid w:val="00A82C37"/>
    <w:rsid w:val="00A852F0"/>
    <w:rsid w:val="00A93937"/>
    <w:rsid w:val="00A95E3A"/>
    <w:rsid w:val="00A97CF2"/>
    <w:rsid w:val="00AA2A72"/>
    <w:rsid w:val="00AA43CA"/>
    <w:rsid w:val="00AB0B8F"/>
    <w:rsid w:val="00AB2C4B"/>
    <w:rsid w:val="00AB798B"/>
    <w:rsid w:val="00AC4E39"/>
    <w:rsid w:val="00AD0D23"/>
    <w:rsid w:val="00AE4B00"/>
    <w:rsid w:val="00AE7A93"/>
    <w:rsid w:val="00AF2022"/>
    <w:rsid w:val="00B0549B"/>
    <w:rsid w:val="00B06306"/>
    <w:rsid w:val="00B07FA7"/>
    <w:rsid w:val="00B1157C"/>
    <w:rsid w:val="00B22D3C"/>
    <w:rsid w:val="00B31F0A"/>
    <w:rsid w:val="00B32A6A"/>
    <w:rsid w:val="00B357A9"/>
    <w:rsid w:val="00B423CC"/>
    <w:rsid w:val="00B447C7"/>
    <w:rsid w:val="00B50751"/>
    <w:rsid w:val="00B53E1A"/>
    <w:rsid w:val="00B617F4"/>
    <w:rsid w:val="00B73C31"/>
    <w:rsid w:val="00B75767"/>
    <w:rsid w:val="00B8097C"/>
    <w:rsid w:val="00B82D8F"/>
    <w:rsid w:val="00B96B80"/>
    <w:rsid w:val="00BA7C9E"/>
    <w:rsid w:val="00BC10E5"/>
    <w:rsid w:val="00BC77FE"/>
    <w:rsid w:val="00BD11A7"/>
    <w:rsid w:val="00BD12A6"/>
    <w:rsid w:val="00BD1849"/>
    <w:rsid w:val="00BD22DA"/>
    <w:rsid w:val="00BD3A59"/>
    <w:rsid w:val="00BD53F8"/>
    <w:rsid w:val="00BF34EB"/>
    <w:rsid w:val="00BF4B54"/>
    <w:rsid w:val="00C109E8"/>
    <w:rsid w:val="00C139A9"/>
    <w:rsid w:val="00C14DC3"/>
    <w:rsid w:val="00C25CA5"/>
    <w:rsid w:val="00C36C3D"/>
    <w:rsid w:val="00C52BFA"/>
    <w:rsid w:val="00C53B0A"/>
    <w:rsid w:val="00C56126"/>
    <w:rsid w:val="00C573DA"/>
    <w:rsid w:val="00C57DB8"/>
    <w:rsid w:val="00C70272"/>
    <w:rsid w:val="00C7252B"/>
    <w:rsid w:val="00C827B8"/>
    <w:rsid w:val="00C91F25"/>
    <w:rsid w:val="00CA7647"/>
    <w:rsid w:val="00CA7BD7"/>
    <w:rsid w:val="00CB3C49"/>
    <w:rsid w:val="00CB592E"/>
    <w:rsid w:val="00CB5DA9"/>
    <w:rsid w:val="00CC0A3B"/>
    <w:rsid w:val="00CD3280"/>
    <w:rsid w:val="00CD4FC9"/>
    <w:rsid w:val="00CD623B"/>
    <w:rsid w:val="00CE08DB"/>
    <w:rsid w:val="00D07D59"/>
    <w:rsid w:val="00D2133F"/>
    <w:rsid w:val="00D22148"/>
    <w:rsid w:val="00D2360A"/>
    <w:rsid w:val="00D269E1"/>
    <w:rsid w:val="00D33D18"/>
    <w:rsid w:val="00D3700D"/>
    <w:rsid w:val="00D40A6F"/>
    <w:rsid w:val="00D4608D"/>
    <w:rsid w:val="00D544AD"/>
    <w:rsid w:val="00D54590"/>
    <w:rsid w:val="00D55E93"/>
    <w:rsid w:val="00D60551"/>
    <w:rsid w:val="00D60F7B"/>
    <w:rsid w:val="00D62C7E"/>
    <w:rsid w:val="00D71078"/>
    <w:rsid w:val="00D80B60"/>
    <w:rsid w:val="00D82ACB"/>
    <w:rsid w:val="00D90F37"/>
    <w:rsid w:val="00D914B2"/>
    <w:rsid w:val="00D95689"/>
    <w:rsid w:val="00DA35C9"/>
    <w:rsid w:val="00DA7E43"/>
    <w:rsid w:val="00DB128A"/>
    <w:rsid w:val="00DD41DB"/>
    <w:rsid w:val="00DD4816"/>
    <w:rsid w:val="00DF0B39"/>
    <w:rsid w:val="00DF39FF"/>
    <w:rsid w:val="00DF4684"/>
    <w:rsid w:val="00DF7465"/>
    <w:rsid w:val="00E065CC"/>
    <w:rsid w:val="00E16269"/>
    <w:rsid w:val="00E226CA"/>
    <w:rsid w:val="00E23D40"/>
    <w:rsid w:val="00E3610C"/>
    <w:rsid w:val="00E36C35"/>
    <w:rsid w:val="00E3737C"/>
    <w:rsid w:val="00E42444"/>
    <w:rsid w:val="00E43221"/>
    <w:rsid w:val="00E43723"/>
    <w:rsid w:val="00E47B85"/>
    <w:rsid w:val="00E6012A"/>
    <w:rsid w:val="00E62E0C"/>
    <w:rsid w:val="00E72410"/>
    <w:rsid w:val="00E83A44"/>
    <w:rsid w:val="00E84E4E"/>
    <w:rsid w:val="00E96A85"/>
    <w:rsid w:val="00E977DD"/>
    <w:rsid w:val="00EA236B"/>
    <w:rsid w:val="00EA2B1F"/>
    <w:rsid w:val="00EA2FAC"/>
    <w:rsid w:val="00EA4393"/>
    <w:rsid w:val="00EA5A5E"/>
    <w:rsid w:val="00EA638D"/>
    <w:rsid w:val="00EA6BE0"/>
    <w:rsid w:val="00EB2E6C"/>
    <w:rsid w:val="00EC060D"/>
    <w:rsid w:val="00EC1C35"/>
    <w:rsid w:val="00EC5F06"/>
    <w:rsid w:val="00ED2A0D"/>
    <w:rsid w:val="00ED3A5B"/>
    <w:rsid w:val="00EE0C1E"/>
    <w:rsid w:val="00EF6385"/>
    <w:rsid w:val="00F026BC"/>
    <w:rsid w:val="00F11945"/>
    <w:rsid w:val="00F131F0"/>
    <w:rsid w:val="00F17423"/>
    <w:rsid w:val="00F54836"/>
    <w:rsid w:val="00F61A04"/>
    <w:rsid w:val="00F62BDF"/>
    <w:rsid w:val="00F65E1C"/>
    <w:rsid w:val="00F6683E"/>
    <w:rsid w:val="00F67908"/>
    <w:rsid w:val="00F71EE8"/>
    <w:rsid w:val="00F724E6"/>
    <w:rsid w:val="00F76127"/>
    <w:rsid w:val="00F83D1C"/>
    <w:rsid w:val="00F84BAF"/>
    <w:rsid w:val="00F94306"/>
    <w:rsid w:val="00F97660"/>
    <w:rsid w:val="00FA1704"/>
    <w:rsid w:val="00FA3822"/>
    <w:rsid w:val="00FA3A9F"/>
    <w:rsid w:val="00FB7A19"/>
    <w:rsid w:val="00FC1C6F"/>
    <w:rsid w:val="00FC1F7E"/>
    <w:rsid w:val="00FD2518"/>
    <w:rsid w:val="00FD65BC"/>
    <w:rsid w:val="00FE5033"/>
    <w:rsid w:val="00FE680A"/>
    <w:rsid w:val="00FF64EF"/>
    <w:rsid w:val="00FF727E"/>
    <w:rsid w:val="057BE4C8"/>
    <w:rsid w:val="0FBFB3CD"/>
    <w:rsid w:val="0FE9712B"/>
    <w:rsid w:val="17C593DC"/>
    <w:rsid w:val="260B4595"/>
    <w:rsid w:val="2A9D9B15"/>
    <w:rsid w:val="2E452AFB"/>
    <w:rsid w:val="2FE1875A"/>
    <w:rsid w:val="309855B8"/>
    <w:rsid w:val="31D0E5A2"/>
    <w:rsid w:val="36A85C09"/>
    <w:rsid w:val="387F3D95"/>
    <w:rsid w:val="3AD439D8"/>
    <w:rsid w:val="3E51F585"/>
    <w:rsid w:val="3F35212D"/>
    <w:rsid w:val="40015DBB"/>
    <w:rsid w:val="40E062DB"/>
    <w:rsid w:val="420C96F4"/>
    <w:rsid w:val="4513122B"/>
    <w:rsid w:val="475ED28C"/>
    <w:rsid w:val="4DE290B9"/>
    <w:rsid w:val="570D0C8C"/>
    <w:rsid w:val="5EEC307C"/>
    <w:rsid w:val="5F4712CB"/>
    <w:rsid w:val="60786047"/>
    <w:rsid w:val="65424A9E"/>
    <w:rsid w:val="74D46407"/>
    <w:rsid w:val="7594B4FE"/>
    <w:rsid w:val="7BEFEC2E"/>
    <w:rsid w:val="7C7667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1C16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GB" w:eastAsia="en-GB"/>
    </w:rPr>
  </w:style>
  <w:style w:type="paragraph" w:styleId="Heading1">
    <w:name w:val="heading 1"/>
    <w:basedOn w:val="Normal"/>
    <w:next w:val="Normal"/>
    <w:qFormat/>
    <w:pPr>
      <w:keepNext/>
      <w:jc w:val="both"/>
      <w:outlineLvl w:val="0"/>
    </w:pPr>
    <w:rPr>
      <w:i/>
      <w:iCs/>
    </w:rPr>
  </w:style>
  <w:style w:type="paragraph" w:styleId="Heading2">
    <w:name w:val="heading 2"/>
    <w:basedOn w:val="Normal"/>
    <w:next w:val="Normal"/>
    <w:qFormat/>
    <w:pPr>
      <w:keepNext/>
      <w:jc w:val="center"/>
      <w:outlineLvl w:val="1"/>
    </w:pPr>
    <w:rPr>
      <w:rFonts w:ascii="Palatino Linotype" w:hAnsi="Palatino Linotype"/>
      <w:sz w:val="28"/>
      <w:szCs w:val="20"/>
    </w:rPr>
  </w:style>
  <w:style w:type="paragraph" w:styleId="Heading3">
    <w:name w:val="heading 3"/>
    <w:basedOn w:val="Normal"/>
    <w:next w:val="Normal"/>
    <w:qFormat/>
    <w:pPr>
      <w:keepNext/>
      <w:tabs>
        <w:tab w:val="left" w:pos="5940"/>
      </w:tabs>
      <w:ind w:left="360"/>
      <w:outlineLvl w:val="2"/>
    </w:pPr>
    <w:rPr>
      <w:b/>
      <w:bCs/>
      <w:color w:val="000000"/>
      <w:sz w:val="20"/>
      <w:szCs w:val="18"/>
      <w:lang w:val="en-US" w:eastAsia="en-US"/>
    </w:rPr>
  </w:style>
  <w:style w:type="paragraph" w:styleId="Heading4">
    <w:name w:val="heading 4"/>
    <w:basedOn w:val="Normal"/>
    <w:next w:val="Normal"/>
    <w:qFormat/>
    <w:pPr>
      <w:keepNext/>
      <w:jc w:val="center"/>
      <w:outlineLvl w:val="3"/>
    </w:pPr>
    <w:rPr>
      <w:b/>
      <w:sz w:val="32"/>
    </w:rPr>
  </w:style>
  <w:style w:type="paragraph" w:styleId="Heading6">
    <w:name w:val="heading 6"/>
    <w:basedOn w:val="Normal"/>
    <w:next w:val="Normal"/>
    <w:qFormat/>
    <w:pPr>
      <w:keepNext/>
      <w:tabs>
        <w:tab w:val="left" w:pos="5940"/>
      </w:tabs>
      <w:outlineLvl w:val="5"/>
    </w:pPr>
    <w:rPr>
      <w:b/>
      <w:bCs/>
      <w:color w:val="000000"/>
      <w:szCs w:val="18"/>
      <w:lang w:val="en-US" w:eastAsia="en-US"/>
    </w:rPr>
  </w:style>
  <w:style w:type="paragraph" w:styleId="Heading9">
    <w:name w:val="heading 9"/>
    <w:basedOn w:val="Normal"/>
    <w:next w:val="Normal"/>
    <w:qFormat/>
    <w:pPr>
      <w:keepNext/>
      <w:outlineLvl w:val="8"/>
    </w:pPr>
    <w:rPr>
      <w:i/>
      <w:iCs/>
      <w:color w:val="000000"/>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jc w:val="both"/>
    </w:pPr>
  </w:style>
  <w:style w:type="paragraph" w:styleId="BodyText2">
    <w:name w:val="Body Text 2"/>
    <w:basedOn w:val="Normal"/>
    <w:semiHidden/>
    <w:pPr>
      <w:jc w:val="both"/>
    </w:pPr>
    <w:rPr>
      <w:i/>
      <w:iC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Title">
    <w:name w:val="Title"/>
    <w:basedOn w:val="Normal"/>
    <w:qFormat/>
    <w:pPr>
      <w:tabs>
        <w:tab w:val="left" w:pos="5940"/>
      </w:tabs>
      <w:jc w:val="center"/>
    </w:pPr>
    <w:rPr>
      <w:b/>
      <w:color w:val="000000"/>
      <w:sz w:val="20"/>
      <w:szCs w:val="18"/>
      <w:lang w:val="en-US" w:eastAsia="en-US"/>
    </w:rPr>
  </w:style>
  <w:style w:type="paragraph" w:styleId="BodyTextIndent2">
    <w:name w:val="Body Text Indent 2"/>
    <w:basedOn w:val="Normal"/>
    <w:semiHidden/>
    <w:pPr>
      <w:ind w:left="720"/>
      <w:jc w:val="both"/>
    </w:pPr>
    <w:rPr>
      <w:sz w:val="22"/>
      <w:lang w:val="en-US" w:eastAsia="en-US"/>
    </w:rPr>
  </w:style>
  <w:style w:type="paragraph" w:styleId="BodyTextIndent3">
    <w:name w:val="Body Text Indent 3"/>
    <w:basedOn w:val="Normal"/>
    <w:semiHidden/>
    <w:pPr>
      <w:ind w:left="411"/>
    </w:pPr>
    <w:rPr>
      <w:color w:val="000000"/>
      <w:sz w:val="20"/>
      <w:szCs w:val="18"/>
      <w:lang w:val="en-US" w:eastAsia="en-US"/>
    </w:rPr>
  </w:style>
  <w:style w:type="paragraph" w:styleId="BodyText3">
    <w:name w:val="Body Text 3"/>
    <w:basedOn w:val="Normal"/>
    <w:semiHidden/>
    <w:pPr>
      <w:jc w:val="both"/>
    </w:pPr>
    <w:rPr>
      <w:rFonts w:ascii="Palatino Linotype" w:hAnsi="Palatino Linotype"/>
      <w:sz w:val="22"/>
      <w:szCs w:val="20"/>
    </w:rPr>
  </w:style>
  <w:style w:type="character" w:styleId="Hyperlink">
    <w:name w:val="Hyperlink"/>
    <w:basedOn w:val="DefaultParagraphFont"/>
    <w:uiPriority w:val="99"/>
    <w:unhideWhenUsed/>
    <w:rsid w:val="00577A98"/>
    <w:rPr>
      <w:color w:val="0000FF"/>
      <w:u w:val="single"/>
    </w:rPr>
  </w:style>
  <w:style w:type="paragraph" w:styleId="ListParagraph">
    <w:name w:val="List Paragraph"/>
    <w:basedOn w:val="Normal"/>
    <w:uiPriority w:val="34"/>
    <w:qFormat/>
    <w:rsid w:val="00C573DA"/>
    <w:pPr>
      <w:ind w:left="720"/>
      <w:contextualSpacing/>
    </w:pPr>
  </w:style>
  <w:style w:type="character" w:styleId="Strong">
    <w:name w:val="Strong"/>
    <w:basedOn w:val="DefaultParagraphFont"/>
    <w:uiPriority w:val="22"/>
    <w:qFormat/>
    <w:rsid w:val="00B447C7"/>
    <w:rPr>
      <w:b/>
      <w:bCs/>
    </w:rPr>
  </w:style>
  <w:style w:type="character" w:customStyle="1" w:styleId="st1">
    <w:name w:val="st1"/>
    <w:basedOn w:val="DefaultParagraphFont"/>
    <w:rsid w:val="00F67908"/>
  </w:style>
  <w:style w:type="paragraph" w:styleId="NormalWeb">
    <w:name w:val="Normal (Web)"/>
    <w:basedOn w:val="Normal"/>
    <w:uiPriority w:val="99"/>
    <w:semiHidden/>
    <w:unhideWhenUsed/>
    <w:rsid w:val="007951D2"/>
    <w:pPr>
      <w:spacing w:before="100" w:beforeAutospacing="1" w:after="100" w:afterAutospacing="1"/>
    </w:pPr>
    <w:rPr>
      <w:rFonts w:eastAsiaTheme="minorEastAsia"/>
      <w:lang w:val="en-US" w:eastAsia="en-US"/>
    </w:rPr>
  </w:style>
  <w:style w:type="paragraph" w:styleId="Header">
    <w:name w:val="header"/>
    <w:basedOn w:val="Normal"/>
    <w:link w:val="HeaderChar"/>
    <w:uiPriority w:val="99"/>
    <w:unhideWhenUsed/>
    <w:rsid w:val="00FF727E"/>
    <w:pPr>
      <w:tabs>
        <w:tab w:val="center" w:pos="4680"/>
        <w:tab w:val="right" w:pos="9360"/>
      </w:tabs>
    </w:pPr>
  </w:style>
  <w:style w:type="character" w:customStyle="1" w:styleId="HeaderChar">
    <w:name w:val="Header Char"/>
    <w:basedOn w:val="DefaultParagraphFont"/>
    <w:link w:val="Header"/>
    <w:uiPriority w:val="99"/>
    <w:rsid w:val="00FF727E"/>
    <w:rPr>
      <w:sz w:val="24"/>
      <w:szCs w:val="24"/>
      <w:lang w:val="en-GB" w:eastAsia="en-GB"/>
    </w:rPr>
  </w:style>
  <w:style w:type="character" w:styleId="Emphasis">
    <w:name w:val="Emphasis"/>
    <w:basedOn w:val="DefaultParagraphFont"/>
    <w:uiPriority w:val="20"/>
    <w:qFormat/>
    <w:rsid w:val="00AE4B00"/>
    <w:rPr>
      <w:i/>
      <w:iCs/>
    </w:rPr>
  </w:style>
  <w:style w:type="character" w:styleId="FollowedHyperlink">
    <w:name w:val="FollowedHyperlink"/>
    <w:basedOn w:val="DefaultParagraphFont"/>
    <w:uiPriority w:val="99"/>
    <w:semiHidden/>
    <w:unhideWhenUsed/>
    <w:rsid w:val="00251912"/>
    <w:rPr>
      <w:color w:val="800080" w:themeColor="followedHyperlink"/>
      <w:u w:val="single"/>
    </w:rPr>
  </w:style>
  <w:style w:type="paragraph" w:styleId="Revision">
    <w:name w:val="Revision"/>
    <w:hidden/>
    <w:uiPriority w:val="99"/>
    <w:semiHidden/>
    <w:rsid w:val="00965F17"/>
    <w:rPr>
      <w:sz w:val="24"/>
      <w:szCs w:val="24"/>
      <w:lang w:val="en-GB" w:eastAsia="en-GB"/>
    </w:rPr>
  </w:style>
  <w:style w:type="character" w:customStyle="1" w:styleId="normaltextrun">
    <w:name w:val="normaltextrun"/>
    <w:basedOn w:val="DefaultParagraphFont"/>
    <w:rsid w:val="00491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0817">
      <w:bodyDiv w:val="1"/>
      <w:marLeft w:val="0"/>
      <w:marRight w:val="0"/>
      <w:marTop w:val="0"/>
      <w:marBottom w:val="0"/>
      <w:divBdr>
        <w:top w:val="none" w:sz="0" w:space="0" w:color="auto"/>
        <w:left w:val="none" w:sz="0" w:space="0" w:color="auto"/>
        <w:bottom w:val="none" w:sz="0" w:space="0" w:color="auto"/>
        <w:right w:val="none" w:sz="0" w:space="0" w:color="auto"/>
      </w:divBdr>
    </w:div>
    <w:div w:id="1396928398">
      <w:bodyDiv w:val="1"/>
      <w:marLeft w:val="0"/>
      <w:marRight w:val="0"/>
      <w:marTop w:val="0"/>
      <w:marBottom w:val="0"/>
      <w:divBdr>
        <w:top w:val="none" w:sz="0" w:space="0" w:color="auto"/>
        <w:left w:val="none" w:sz="0" w:space="0" w:color="auto"/>
        <w:bottom w:val="none" w:sz="0" w:space="0" w:color="auto"/>
        <w:right w:val="none" w:sz="0" w:space="0" w:color="auto"/>
      </w:divBdr>
    </w:div>
    <w:div w:id="1458529283">
      <w:bodyDiv w:val="1"/>
      <w:marLeft w:val="0"/>
      <w:marRight w:val="0"/>
      <w:marTop w:val="0"/>
      <w:marBottom w:val="0"/>
      <w:divBdr>
        <w:top w:val="none" w:sz="0" w:space="0" w:color="auto"/>
        <w:left w:val="none" w:sz="0" w:space="0" w:color="auto"/>
        <w:bottom w:val="none" w:sz="0" w:space="0" w:color="auto"/>
        <w:right w:val="none" w:sz="0" w:space="0" w:color="auto"/>
      </w:divBdr>
      <w:divsChild>
        <w:div w:id="57547640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vezdov@air-worldwide.com" TargetMode="External"/><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hyperlink" Target="mailto:ivelin.zvezdov@gmail.com" TargetMode="External"/><Relationship Id="rId14" Type="http://schemas.microsoft.com/office/2007/relationships/diagramDrawing" Target="diagrams/drawing1.xml"/><Relationship Id="rId22" Type="http://schemas.openxmlformats.org/officeDocument/2006/relationships/header" Target="header1.xml"/><Relationship Id="rId27"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E9BA39-615C-451A-934B-1FBE34B23F1B}"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D80D3DDB-AA63-47C1-A57C-7BD5E19BC87F}">
      <dgm:prSet phldrT="[Text]" custT="1"/>
      <dgm:spPr>
        <a:xfrm>
          <a:off x="2294474" y="1085"/>
          <a:ext cx="1125800"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Review and Second Cycle</a:t>
          </a:r>
        </a:p>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2018 -2021</a:t>
          </a:r>
        </a:p>
      </dgm:t>
    </dgm:pt>
    <dgm:pt modelId="{E94D02C8-CDA8-4DC5-9C4F-471EF810F7A4}" type="parTrans" cxnId="{F6121AE0-7FB7-45B9-B88B-5DD18DBE5A57}">
      <dgm:prSet/>
      <dgm:spPr/>
      <dgm:t>
        <a:bodyPr/>
        <a:lstStyle/>
        <a:p>
          <a:endParaRPr lang="en-US"/>
        </a:p>
      </dgm:t>
    </dgm:pt>
    <dgm:pt modelId="{C94E0EFA-0584-46B5-8C48-98380C5A9489}" type="sibTrans" cxnId="{F6121AE0-7FB7-45B9-B88B-5DD18DBE5A57}">
      <dgm:prSet/>
      <dgm:spPr>
        <a:xfrm>
          <a:off x="1394450" y="366970"/>
          <a:ext cx="2925847" cy="2925847"/>
        </a:xfrm>
        <a:custGeom>
          <a:avLst/>
          <a:gdLst/>
          <a:ahLst/>
          <a:cxnLst/>
          <a:rect l="0" t="0" r="0" b="0"/>
          <a:pathLst>
            <a:path>
              <a:moveTo>
                <a:pt x="2176869" y="186041"/>
              </a:moveTo>
              <a:arcTo wR="1462923" hR="1462923" stAng="17952656" swAng="1212775"/>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3E839083-4DBD-41B3-B12E-E44CEC054677}">
      <dgm:prSet phldrT="[Text]" custT="1"/>
      <dgm:spPr>
        <a:xfrm>
          <a:off x="3533780" y="1011941"/>
          <a:ext cx="1429833"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Initial Conditions by 2012 (+ 6 years)</a:t>
          </a:r>
        </a:p>
      </dgm:t>
    </dgm:pt>
    <dgm:pt modelId="{1AFB0F3E-4D45-4373-B6FD-393E7CA572CF}" type="parTrans" cxnId="{019908F3-00FE-4FB6-B2F4-7634D56EFF2B}">
      <dgm:prSet/>
      <dgm:spPr/>
      <dgm:t>
        <a:bodyPr/>
        <a:lstStyle/>
        <a:p>
          <a:endParaRPr lang="en-US"/>
        </a:p>
      </dgm:t>
    </dgm:pt>
    <dgm:pt modelId="{DA3F3BDB-854A-4980-B383-A6A7C4B11300}" type="sibTrans" cxnId="{019908F3-00FE-4FB6-B2F4-7634D56EFF2B}">
      <dgm:prSet/>
      <dgm:spPr>
        <a:xfrm>
          <a:off x="1394450" y="366970"/>
          <a:ext cx="2925847" cy="2925847"/>
        </a:xfrm>
        <a:custGeom>
          <a:avLst/>
          <a:gdLst/>
          <a:ahLst/>
          <a:cxnLst/>
          <a:rect l="0" t="0" r="0" b="0"/>
          <a:pathLst>
            <a:path>
              <a:moveTo>
                <a:pt x="2922350" y="1564019"/>
              </a:moveTo>
              <a:arcTo wR="1462923" hR="1462923" stAng="21837755" swAng="1360683"/>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C1120A38-1A31-465B-8C77-7368EE4F7A23}">
      <dgm:prSet phldrT="[Text]" custT="1"/>
      <dgm:spPr>
        <a:xfrm>
          <a:off x="3154359" y="2647539"/>
          <a:ext cx="1125800"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Monitoring </a:t>
          </a:r>
          <a:r>
            <a:rPr lang="en-US" sz="1100" b="0" dirty="0">
              <a:solidFill>
                <a:sysClr val="window" lastClr="FFFFFF"/>
              </a:solidFill>
              <a:latin typeface="Times New Roman" panose="02020603050405020304" pitchFamily="18" charset="0"/>
              <a:ea typeface="+mn-ea"/>
              <a:cs typeface="Times New Roman" panose="02020603050405020304" pitchFamily="18" charset="0"/>
            </a:rPr>
            <a:t>Program</a:t>
          </a:r>
          <a:endParaRPr lang="en-US" sz="1200" b="0" dirty="0">
            <a:solidFill>
              <a:sysClr val="window" lastClr="FFFFFF"/>
            </a:solidFill>
            <a:latin typeface="Times New Roman" panose="02020603050405020304" pitchFamily="18" charset="0"/>
            <a:ea typeface="+mn-ea"/>
            <a:cs typeface="Times New Roman" panose="02020603050405020304" pitchFamily="18" charset="0"/>
          </a:endParaRPr>
        </a:p>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2014</a:t>
          </a:r>
        </a:p>
      </dgm:t>
    </dgm:pt>
    <dgm:pt modelId="{D09759CE-D585-4306-A5EA-A7EEA5A9CAEA}" type="parTrans" cxnId="{B27BC67C-28AB-48F8-A1BF-E049556EAC78}">
      <dgm:prSet/>
      <dgm:spPr/>
      <dgm:t>
        <a:bodyPr/>
        <a:lstStyle/>
        <a:p>
          <a:endParaRPr lang="en-US"/>
        </a:p>
      </dgm:t>
    </dgm:pt>
    <dgm:pt modelId="{21ED6038-F57B-44D5-99B5-896FF5A41532}" type="sibTrans" cxnId="{B27BC67C-28AB-48F8-A1BF-E049556EAC78}">
      <dgm:prSet/>
      <dgm:spPr>
        <a:xfrm>
          <a:off x="1523745" y="346150"/>
          <a:ext cx="2925847" cy="2925847"/>
        </a:xfrm>
        <a:custGeom>
          <a:avLst/>
          <a:gdLst/>
          <a:ahLst/>
          <a:cxnLst/>
          <a:rect l="0" t="0" r="0" b="0"/>
          <a:pathLst>
            <a:path>
              <a:moveTo>
                <a:pt x="1522509" y="2924633"/>
              </a:moveTo>
              <a:arcTo wR="1462923" hR="1462923" stAng="5259939" swAng="772002"/>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57896FFE-DBC0-44B8-B83D-54060E287C10}">
      <dgm:prSet phldrT="[Text]" custT="1"/>
      <dgm:spPr>
        <a:xfrm>
          <a:off x="1487663" y="2626311"/>
          <a:ext cx="1125800"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Measures Program 2015</a:t>
          </a:r>
        </a:p>
      </dgm:t>
    </dgm:pt>
    <dgm:pt modelId="{AE1601F6-9D74-4385-8E86-1FB5D6C0CD99}" type="parTrans" cxnId="{AED3709B-7765-4934-9009-23A90E1DD4EB}">
      <dgm:prSet/>
      <dgm:spPr/>
      <dgm:t>
        <a:bodyPr/>
        <a:lstStyle/>
        <a:p>
          <a:endParaRPr lang="en-US"/>
        </a:p>
      </dgm:t>
    </dgm:pt>
    <dgm:pt modelId="{4F9FA941-DBB0-42EC-AF21-C941128EC514}" type="sibTrans" cxnId="{AED3709B-7765-4934-9009-23A90E1DD4EB}">
      <dgm:prSet/>
      <dgm:spPr>
        <a:xfrm>
          <a:off x="1396974" y="287815"/>
          <a:ext cx="2925847" cy="2925847"/>
        </a:xfrm>
        <a:custGeom>
          <a:avLst/>
          <a:gdLst/>
          <a:ahLst/>
          <a:cxnLst/>
          <a:rect l="0" t="0" r="0" b="0"/>
          <a:pathLst>
            <a:path>
              <a:moveTo>
                <a:pt x="189456" y="2182941"/>
              </a:moveTo>
              <a:arcTo wR="1462923" hR="1462923" stAng="9030973" swAng="1348780"/>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CE4A541A-3422-4178-B848-DA2758357215}">
      <dgm:prSet phldrT="[Text]" custT="1"/>
      <dgm:spPr>
        <a:xfrm>
          <a:off x="903150" y="1011941"/>
          <a:ext cx="1125800"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Strategy in-place by 2016</a:t>
          </a:r>
        </a:p>
      </dgm:t>
    </dgm:pt>
    <dgm:pt modelId="{F886CECD-9A29-4CC1-94BE-2A238F058CAA}" type="parTrans" cxnId="{AB55E5CC-EB24-4EBE-8365-E2A0AB4ED30D}">
      <dgm:prSet/>
      <dgm:spPr/>
      <dgm:t>
        <a:bodyPr/>
        <a:lstStyle/>
        <a:p>
          <a:endParaRPr lang="en-US"/>
        </a:p>
      </dgm:t>
    </dgm:pt>
    <dgm:pt modelId="{EDC3AA18-24F7-42BE-9BFA-4C647CE5FE09}" type="sibTrans" cxnId="{AB55E5CC-EB24-4EBE-8365-E2A0AB4ED30D}">
      <dgm:prSet/>
      <dgm:spPr>
        <a:xfrm>
          <a:off x="1394450" y="366970"/>
          <a:ext cx="2925847" cy="2925847"/>
        </a:xfrm>
        <a:custGeom>
          <a:avLst/>
          <a:gdLst/>
          <a:ahLst/>
          <a:cxnLst/>
          <a:rect l="0" t="0" r="0" b="0"/>
          <a:pathLst>
            <a:path>
              <a:moveTo>
                <a:pt x="351771" y="511353"/>
              </a:moveTo>
              <a:arcTo wR="1462923" hR="1462923" stAng="13234568" swAng="1212775"/>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6820CE68-D56A-417A-8E5D-780010DFF1E2}" type="pres">
      <dgm:prSet presAssocID="{F6E9BA39-615C-451A-934B-1FBE34B23F1B}" presName="cycle" presStyleCnt="0">
        <dgm:presLayoutVars>
          <dgm:dir/>
          <dgm:resizeHandles val="exact"/>
        </dgm:presLayoutVars>
      </dgm:prSet>
      <dgm:spPr/>
    </dgm:pt>
    <dgm:pt modelId="{8A29EF01-1BF5-4189-8F56-A90565C12EB0}" type="pres">
      <dgm:prSet presAssocID="{D80D3DDB-AA63-47C1-A57C-7BD5E19BC87F}" presName="node" presStyleLbl="node1" presStyleIdx="0" presStyleCnt="5">
        <dgm:presLayoutVars>
          <dgm:bulletEnabled val="1"/>
        </dgm:presLayoutVars>
      </dgm:prSet>
      <dgm:spPr/>
    </dgm:pt>
    <dgm:pt modelId="{542FA66F-6BAB-4085-B145-7D21D7A3FD05}" type="pres">
      <dgm:prSet presAssocID="{D80D3DDB-AA63-47C1-A57C-7BD5E19BC87F}" presName="spNode" presStyleCnt="0"/>
      <dgm:spPr/>
    </dgm:pt>
    <dgm:pt modelId="{2F0D5172-CBFF-49B0-A10A-7DE55C95607F}" type="pres">
      <dgm:prSet presAssocID="{C94E0EFA-0584-46B5-8C48-98380C5A9489}" presName="sibTrans" presStyleLbl="sibTrans1D1" presStyleIdx="0" presStyleCnt="5"/>
      <dgm:spPr/>
    </dgm:pt>
    <dgm:pt modelId="{83F16D46-A2E3-4E2B-A2D0-E1F051F1E383}" type="pres">
      <dgm:prSet presAssocID="{3E839083-4DBD-41B3-B12E-E44CEC054677}" presName="node" presStyleLbl="node1" presStyleIdx="1" presStyleCnt="5" custScaleX="127006">
        <dgm:presLayoutVars>
          <dgm:bulletEnabled val="1"/>
        </dgm:presLayoutVars>
      </dgm:prSet>
      <dgm:spPr/>
    </dgm:pt>
    <dgm:pt modelId="{F37B32AD-1143-4544-AC12-CE4368B86D11}" type="pres">
      <dgm:prSet presAssocID="{3E839083-4DBD-41B3-B12E-E44CEC054677}" presName="spNode" presStyleCnt="0"/>
      <dgm:spPr/>
    </dgm:pt>
    <dgm:pt modelId="{2BE82EE4-B390-4330-9B6F-BFC8B2A155D6}" type="pres">
      <dgm:prSet presAssocID="{DA3F3BDB-854A-4980-B383-A6A7C4B11300}" presName="sibTrans" presStyleLbl="sibTrans1D1" presStyleIdx="1" presStyleCnt="5"/>
      <dgm:spPr/>
    </dgm:pt>
    <dgm:pt modelId="{AFFBDCD3-0B3B-4DDD-973D-4461131642A6}" type="pres">
      <dgm:prSet presAssocID="{C1120A38-1A31-465B-8C77-7368EE4F7A23}" presName="node" presStyleLbl="node1" presStyleIdx="2" presStyleCnt="5">
        <dgm:presLayoutVars>
          <dgm:bulletEnabled val="1"/>
        </dgm:presLayoutVars>
      </dgm:prSet>
      <dgm:spPr/>
    </dgm:pt>
    <dgm:pt modelId="{40DE60A5-260A-4E6B-B50D-DC0B6F2F5A5D}" type="pres">
      <dgm:prSet presAssocID="{C1120A38-1A31-465B-8C77-7368EE4F7A23}" presName="spNode" presStyleCnt="0"/>
      <dgm:spPr/>
    </dgm:pt>
    <dgm:pt modelId="{894C297C-B788-4B55-8A8E-50D365120802}" type="pres">
      <dgm:prSet presAssocID="{21ED6038-F57B-44D5-99B5-896FF5A41532}" presName="sibTrans" presStyleLbl="sibTrans1D1" presStyleIdx="2" presStyleCnt="5"/>
      <dgm:spPr/>
    </dgm:pt>
    <dgm:pt modelId="{67CBEC12-E413-4F41-99F7-E558BA20B4F9}" type="pres">
      <dgm:prSet presAssocID="{57896FFE-DBC0-44B8-B83D-54060E287C10}" presName="node" presStyleLbl="node1" presStyleIdx="3" presStyleCnt="5" custRadScaleRad="96716" custRadScaleInc="-5140">
        <dgm:presLayoutVars>
          <dgm:bulletEnabled val="1"/>
        </dgm:presLayoutVars>
      </dgm:prSet>
      <dgm:spPr/>
    </dgm:pt>
    <dgm:pt modelId="{56F12BD7-185C-475F-8F10-DAB07B7425BB}" type="pres">
      <dgm:prSet presAssocID="{57896FFE-DBC0-44B8-B83D-54060E287C10}" presName="spNode" presStyleCnt="0"/>
      <dgm:spPr/>
    </dgm:pt>
    <dgm:pt modelId="{7F0052EE-1314-446F-9B52-77E6651EE7E8}" type="pres">
      <dgm:prSet presAssocID="{4F9FA941-DBB0-42EC-AF21-C941128EC514}" presName="sibTrans" presStyleLbl="sibTrans1D1" presStyleIdx="3" presStyleCnt="5"/>
      <dgm:spPr/>
    </dgm:pt>
    <dgm:pt modelId="{73A2FAB2-8843-494B-83A5-B0B213DDFE9F}" type="pres">
      <dgm:prSet presAssocID="{CE4A541A-3422-4178-B848-DA2758357215}" presName="node" presStyleLbl="node1" presStyleIdx="4" presStyleCnt="5">
        <dgm:presLayoutVars>
          <dgm:bulletEnabled val="1"/>
        </dgm:presLayoutVars>
      </dgm:prSet>
      <dgm:spPr/>
    </dgm:pt>
    <dgm:pt modelId="{052A6C1E-7A84-48AD-AE66-745357076BA5}" type="pres">
      <dgm:prSet presAssocID="{CE4A541A-3422-4178-B848-DA2758357215}" presName="spNode" presStyleCnt="0"/>
      <dgm:spPr/>
    </dgm:pt>
    <dgm:pt modelId="{C95C6EC6-D56D-4EED-BF8B-0F6B6B70A84F}" type="pres">
      <dgm:prSet presAssocID="{EDC3AA18-24F7-42BE-9BFA-4C647CE5FE09}" presName="sibTrans" presStyleLbl="sibTrans1D1" presStyleIdx="4" presStyleCnt="5"/>
      <dgm:spPr/>
    </dgm:pt>
  </dgm:ptLst>
  <dgm:cxnLst>
    <dgm:cxn modelId="{8B07712C-1103-4BD3-B05A-EA53CE0D44CB}" type="presOf" srcId="{DA3F3BDB-854A-4980-B383-A6A7C4B11300}" destId="{2BE82EE4-B390-4330-9B6F-BFC8B2A155D6}" srcOrd="0" destOrd="0" presId="urn:microsoft.com/office/officeart/2005/8/layout/cycle5"/>
    <dgm:cxn modelId="{A993F634-7FE5-4A1C-8BF7-35AFC52B40C7}" type="presOf" srcId="{F6E9BA39-615C-451A-934B-1FBE34B23F1B}" destId="{6820CE68-D56A-417A-8E5D-780010DFF1E2}" srcOrd="0" destOrd="0" presId="urn:microsoft.com/office/officeart/2005/8/layout/cycle5"/>
    <dgm:cxn modelId="{F0A36F35-767B-4C3D-B29B-E420C65A688A}" type="presOf" srcId="{C94E0EFA-0584-46B5-8C48-98380C5A9489}" destId="{2F0D5172-CBFF-49B0-A10A-7DE55C95607F}" srcOrd="0" destOrd="0" presId="urn:microsoft.com/office/officeart/2005/8/layout/cycle5"/>
    <dgm:cxn modelId="{FCAD0376-8FD6-43AC-96DB-2D8D6230645F}" type="presOf" srcId="{4F9FA941-DBB0-42EC-AF21-C941128EC514}" destId="{7F0052EE-1314-446F-9B52-77E6651EE7E8}" srcOrd="0" destOrd="0" presId="urn:microsoft.com/office/officeart/2005/8/layout/cycle5"/>
    <dgm:cxn modelId="{B27BC67C-28AB-48F8-A1BF-E049556EAC78}" srcId="{F6E9BA39-615C-451A-934B-1FBE34B23F1B}" destId="{C1120A38-1A31-465B-8C77-7368EE4F7A23}" srcOrd="2" destOrd="0" parTransId="{D09759CE-D585-4306-A5EA-A7EEA5A9CAEA}" sibTransId="{21ED6038-F57B-44D5-99B5-896FF5A41532}"/>
    <dgm:cxn modelId="{25C02581-AF27-49DC-A99E-0E314E2F7299}" type="presOf" srcId="{CE4A541A-3422-4178-B848-DA2758357215}" destId="{73A2FAB2-8843-494B-83A5-B0B213DDFE9F}" srcOrd="0" destOrd="0" presId="urn:microsoft.com/office/officeart/2005/8/layout/cycle5"/>
    <dgm:cxn modelId="{E7C1A196-B92E-497A-9FFA-872052B5AE6B}" type="presOf" srcId="{21ED6038-F57B-44D5-99B5-896FF5A41532}" destId="{894C297C-B788-4B55-8A8E-50D365120802}" srcOrd="0" destOrd="0" presId="urn:microsoft.com/office/officeart/2005/8/layout/cycle5"/>
    <dgm:cxn modelId="{AED3709B-7765-4934-9009-23A90E1DD4EB}" srcId="{F6E9BA39-615C-451A-934B-1FBE34B23F1B}" destId="{57896FFE-DBC0-44B8-B83D-54060E287C10}" srcOrd="3" destOrd="0" parTransId="{AE1601F6-9D74-4385-8E86-1FB5D6C0CD99}" sibTransId="{4F9FA941-DBB0-42EC-AF21-C941128EC514}"/>
    <dgm:cxn modelId="{FE6D13A6-4DE9-4482-9BE2-016E6BA8E6F7}" type="presOf" srcId="{C1120A38-1A31-465B-8C77-7368EE4F7A23}" destId="{AFFBDCD3-0B3B-4DDD-973D-4461131642A6}" srcOrd="0" destOrd="0" presId="urn:microsoft.com/office/officeart/2005/8/layout/cycle5"/>
    <dgm:cxn modelId="{699605BA-DAF3-46D7-91DD-9F9933685F8C}" type="presOf" srcId="{EDC3AA18-24F7-42BE-9BFA-4C647CE5FE09}" destId="{C95C6EC6-D56D-4EED-BF8B-0F6B6B70A84F}" srcOrd="0" destOrd="0" presId="urn:microsoft.com/office/officeart/2005/8/layout/cycle5"/>
    <dgm:cxn modelId="{AB55E5CC-EB24-4EBE-8365-E2A0AB4ED30D}" srcId="{F6E9BA39-615C-451A-934B-1FBE34B23F1B}" destId="{CE4A541A-3422-4178-B848-DA2758357215}" srcOrd="4" destOrd="0" parTransId="{F886CECD-9A29-4CC1-94BE-2A238F058CAA}" sibTransId="{EDC3AA18-24F7-42BE-9BFA-4C647CE5FE09}"/>
    <dgm:cxn modelId="{D3B644D5-F830-43F2-9CB2-7AD8A5009AB7}" type="presOf" srcId="{D80D3DDB-AA63-47C1-A57C-7BD5E19BC87F}" destId="{8A29EF01-1BF5-4189-8F56-A90565C12EB0}" srcOrd="0" destOrd="0" presId="urn:microsoft.com/office/officeart/2005/8/layout/cycle5"/>
    <dgm:cxn modelId="{F6121AE0-7FB7-45B9-B88B-5DD18DBE5A57}" srcId="{F6E9BA39-615C-451A-934B-1FBE34B23F1B}" destId="{D80D3DDB-AA63-47C1-A57C-7BD5E19BC87F}" srcOrd="0" destOrd="0" parTransId="{E94D02C8-CDA8-4DC5-9C4F-471EF810F7A4}" sibTransId="{C94E0EFA-0584-46B5-8C48-98380C5A9489}"/>
    <dgm:cxn modelId="{2ADA84E2-7950-4370-B45B-27FBCC41E6AD}" type="presOf" srcId="{3E839083-4DBD-41B3-B12E-E44CEC054677}" destId="{83F16D46-A2E3-4E2B-A2D0-E1F051F1E383}" srcOrd="0" destOrd="0" presId="urn:microsoft.com/office/officeart/2005/8/layout/cycle5"/>
    <dgm:cxn modelId="{CCE29DE5-A498-45E4-A474-0464516710DC}" type="presOf" srcId="{57896FFE-DBC0-44B8-B83D-54060E287C10}" destId="{67CBEC12-E413-4F41-99F7-E558BA20B4F9}" srcOrd="0" destOrd="0" presId="urn:microsoft.com/office/officeart/2005/8/layout/cycle5"/>
    <dgm:cxn modelId="{019908F3-00FE-4FB6-B2F4-7634D56EFF2B}" srcId="{F6E9BA39-615C-451A-934B-1FBE34B23F1B}" destId="{3E839083-4DBD-41B3-B12E-E44CEC054677}" srcOrd="1" destOrd="0" parTransId="{1AFB0F3E-4D45-4373-B6FD-393E7CA572CF}" sibTransId="{DA3F3BDB-854A-4980-B383-A6A7C4B11300}"/>
    <dgm:cxn modelId="{40CCD9E5-6283-464A-9CF5-1920949AA87F}" type="presParOf" srcId="{6820CE68-D56A-417A-8E5D-780010DFF1E2}" destId="{8A29EF01-1BF5-4189-8F56-A90565C12EB0}" srcOrd="0" destOrd="0" presId="urn:microsoft.com/office/officeart/2005/8/layout/cycle5"/>
    <dgm:cxn modelId="{8F21C88D-30EC-45BB-AE67-CD654BA38523}" type="presParOf" srcId="{6820CE68-D56A-417A-8E5D-780010DFF1E2}" destId="{542FA66F-6BAB-4085-B145-7D21D7A3FD05}" srcOrd="1" destOrd="0" presId="urn:microsoft.com/office/officeart/2005/8/layout/cycle5"/>
    <dgm:cxn modelId="{CED87BF2-CC1C-49CD-9446-1ECBA00D457C}" type="presParOf" srcId="{6820CE68-D56A-417A-8E5D-780010DFF1E2}" destId="{2F0D5172-CBFF-49B0-A10A-7DE55C95607F}" srcOrd="2" destOrd="0" presId="urn:microsoft.com/office/officeart/2005/8/layout/cycle5"/>
    <dgm:cxn modelId="{7AB5887D-158E-4651-9F94-FFFA26F07CAD}" type="presParOf" srcId="{6820CE68-D56A-417A-8E5D-780010DFF1E2}" destId="{83F16D46-A2E3-4E2B-A2D0-E1F051F1E383}" srcOrd="3" destOrd="0" presId="urn:microsoft.com/office/officeart/2005/8/layout/cycle5"/>
    <dgm:cxn modelId="{327628FD-E442-44D9-A736-140417E71A29}" type="presParOf" srcId="{6820CE68-D56A-417A-8E5D-780010DFF1E2}" destId="{F37B32AD-1143-4544-AC12-CE4368B86D11}" srcOrd="4" destOrd="0" presId="urn:microsoft.com/office/officeart/2005/8/layout/cycle5"/>
    <dgm:cxn modelId="{88B77642-F719-4A9D-B396-499D89AB680A}" type="presParOf" srcId="{6820CE68-D56A-417A-8E5D-780010DFF1E2}" destId="{2BE82EE4-B390-4330-9B6F-BFC8B2A155D6}" srcOrd="5" destOrd="0" presId="urn:microsoft.com/office/officeart/2005/8/layout/cycle5"/>
    <dgm:cxn modelId="{11798AFE-C570-4413-BA51-EDF6555D7C1B}" type="presParOf" srcId="{6820CE68-D56A-417A-8E5D-780010DFF1E2}" destId="{AFFBDCD3-0B3B-4DDD-973D-4461131642A6}" srcOrd="6" destOrd="0" presId="urn:microsoft.com/office/officeart/2005/8/layout/cycle5"/>
    <dgm:cxn modelId="{07FF01E8-7179-4AB0-9C4F-5AA7679696C9}" type="presParOf" srcId="{6820CE68-D56A-417A-8E5D-780010DFF1E2}" destId="{40DE60A5-260A-4E6B-B50D-DC0B6F2F5A5D}" srcOrd="7" destOrd="0" presId="urn:microsoft.com/office/officeart/2005/8/layout/cycle5"/>
    <dgm:cxn modelId="{07E87E2A-CE44-46DB-A65E-7A9FF30EDCE2}" type="presParOf" srcId="{6820CE68-D56A-417A-8E5D-780010DFF1E2}" destId="{894C297C-B788-4B55-8A8E-50D365120802}" srcOrd="8" destOrd="0" presId="urn:microsoft.com/office/officeart/2005/8/layout/cycle5"/>
    <dgm:cxn modelId="{75AFB110-1E21-4E6B-A577-E95469599EAD}" type="presParOf" srcId="{6820CE68-D56A-417A-8E5D-780010DFF1E2}" destId="{67CBEC12-E413-4F41-99F7-E558BA20B4F9}" srcOrd="9" destOrd="0" presId="urn:microsoft.com/office/officeart/2005/8/layout/cycle5"/>
    <dgm:cxn modelId="{76DBA22C-9F2F-4310-9667-7DEB64B0D271}" type="presParOf" srcId="{6820CE68-D56A-417A-8E5D-780010DFF1E2}" destId="{56F12BD7-185C-475F-8F10-DAB07B7425BB}" srcOrd="10" destOrd="0" presId="urn:microsoft.com/office/officeart/2005/8/layout/cycle5"/>
    <dgm:cxn modelId="{66BE2452-2B6E-406B-8351-8B6E3FE18723}" type="presParOf" srcId="{6820CE68-D56A-417A-8E5D-780010DFF1E2}" destId="{7F0052EE-1314-446F-9B52-77E6651EE7E8}" srcOrd="11" destOrd="0" presId="urn:microsoft.com/office/officeart/2005/8/layout/cycle5"/>
    <dgm:cxn modelId="{6B9C2F73-741A-4F82-BEB4-8D994E2571C1}" type="presParOf" srcId="{6820CE68-D56A-417A-8E5D-780010DFF1E2}" destId="{73A2FAB2-8843-494B-83A5-B0B213DDFE9F}" srcOrd="12" destOrd="0" presId="urn:microsoft.com/office/officeart/2005/8/layout/cycle5"/>
    <dgm:cxn modelId="{A1818022-62EC-4FBF-8D2B-CFE8E60A56A5}" type="presParOf" srcId="{6820CE68-D56A-417A-8E5D-780010DFF1E2}" destId="{052A6C1E-7A84-48AD-AE66-745357076BA5}" srcOrd="13" destOrd="0" presId="urn:microsoft.com/office/officeart/2005/8/layout/cycle5"/>
    <dgm:cxn modelId="{3D3DCD32-1AC0-45D0-879E-93B669F276EE}" type="presParOf" srcId="{6820CE68-D56A-417A-8E5D-780010DFF1E2}" destId="{C95C6EC6-D56D-4EED-BF8B-0F6B6B70A84F}" srcOrd="14" destOrd="0" presId="urn:microsoft.com/office/officeart/2005/8/layout/cycle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6E9BA39-615C-451A-934B-1FBE34B23F1B}"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D80D3DDB-AA63-47C1-A57C-7BD5E19BC87F}">
      <dgm:prSet phldrT="[Text]" custT="1"/>
      <dgm:spPr>
        <a:xfrm>
          <a:off x="2279534" y="1085"/>
          <a:ext cx="1219432"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Environmental Liability Directive 2008</a:t>
          </a:r>
        </a:p>
      </dgm:t>
    </dgm:pt>
    <dgm:pt modelId="{E94D02C8-CDA8-4DC5-9C4F-471EF810F7A4}" type="parTrans" cxnId="{F6121AE0-7FB7-45B9-B88B-5DD18DBE5A57}">
      <dgm:prSet/>
      <dgm:spPr/>
      <dgm:t>
        <a:bodyPr/>
        <a:lstStyle/>
        <a:p>
          <a:endParaRPr lang="en-US" sz="1200">
            <a:latin typeface="Times New Roman" panose="02020603050405020304" pitchFamily="18" charset="0"/>
            <a:cs typeface="Times New Roman" panose="02020603050405020304" pitchFamily="18" charset="0"/>
          </a:endParaRPr>
        </a:p>
      </dgm:t>
    </dgm:pt>
    <dgm:pt modelId="{C94E0EFA-0584-46B5-8C48-98380C5A9489}" type="sibTrans" cxnId="{F6121AE0-7FB7-45B9-B88B-5DD18DBE5A57}">
      <dgm:prSet/>
      <dgm:spPr>
        <a:xfrm>
          <a:off x="1788753" y="479033"/>
          <a:ext cx="2925847" cy="2925847"/>
        </a:xfrm>
        <a:custGeom>
          <a:avLst/>
          <a:gdLst/>
          <a:ahLst/>
          <a:cxnLst/>
          <a:rect l="0" t="0" r="0" b="0"/>
          <a:pathLst>
            <a:path>
              <a:moveTo>
                <a:pt x="1920558" y="73421"/>
              </a:moveTo>
              <a:arcTo wR="1462923" hR="1462923" stAng="17293763" swAng="1591893"/>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sz="1200">
            <a:latin typeface="Times New Roman" panose="02020603050405020304" pitchFamily="18" charset="0"/>
            <a:cs typeface="Times New Roman" panose="02020603050405020304" pitchFamily="18" charset="0"/>
          </a:endParaRPr>
        </a:p>
      </dgm:t>
    </dgm:pt>
    <dgm:pt modelId="{3E839083-4DBD-41B3-B12E-E44CEC054677}">
      <dgm:prSet phldrT="[Text]" custT="1"/>
      <dgm:spPr>
        <a:xfrm>
          <a:off x="3757154" y="1066825"/>
          <a:ext cx="1598805"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spcAft>
              <a:spcPts val="0"/>
            </a:spcAft>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Definition</a:t>
          </a:r>
          <a:r>
            <a:rPr lang="en-US" sz="1200" b="0" baseline="0" dirty="0">
              <a:solidFill>
                <a:sysClr val="window" lastClr="FFFFFF"/>
              </a:solidFill>
              <a:latin typeface="Times New Roman" panose="02020603050405020304" pitchFamily="18" charset="0"/>
              <a:ea typeface="+mn-ea"/>
              <a:cs typeface="Times New Roman" panose="02020603050405020304" pitchFamily="18" charset="0"/>
            </a:rPr>
            <a:t> of Insurable Scenarios</a:t>
          </a:r>
        </a:p>
        <a:p>
          <a:pPr>
            <a:spcAft>
              <a:spcPts val="0"/>
            </a:spcAft>
            <a:buNone/>
          </a:pPr>
          <a:r>
            <a:rPr lang="en-US" sz="1200" b="0" baseline="0" dirty="0">
              <a:solidFill>
                <a:sysClr val="window" lastClr="FFFFFF"/>
              </a:solidFill>
              <a:latin typeface="Times New Roman" panose="02020603050405020304" pitchFamily="18" charset="0"/>
              <a:ea typeface="+mn-ea"/>
              <a:cs typeface="Times New Roman" panose="02020603050405020304" pitchFamily="18" charset="0"/>
            </a:rPr>
            <a:t>and Insurance Coverage</a:t>
          </a:r>
          <a:endParaRPr lang="en-US" sz="1200" b="0" dirty="0">
            <a:solidFill>
              <a:sysClr val="window" lastClr="FFFFFF"/>
            </a:solidFill>
            <a:latin typeface="Times New Roman" panose="02020603050405020304" pitchFamily="18" charset="0"/>
            <a:ea typeface="+mn-ea"/>
            <a:cs typeface="Times New Roman" panose="02020603050405020304" pitchFamily="18" charset="0"/>
          </a:endParaRPr>
        </a:p>
      </dgm:t>
    </dgm:pt>
    <dgm:pt modelId="{1AFB0F3E-4D45-4373-B6FD-393E7CA572CF}" type="parTrans" cxnId="{019908F3-00FE-4FB6-B2F4-7634D56EFF2B}">
      <dgm:prSet/>
      <dgm:spPr/>
      <dgm:t>
        <a:bodyPr/>
        <a:lstStyle/>
        <a:p>
          <a:endParaRPr lang="en-US" sz="1200">
            <a:latin typeface="Times New Roman" panose="02020603050405020304" pitchFamily="18" charset="0"/>
            <a:cs typeface="Times New Roman" panose="02020603050405020304" pitchFamily="18" charset="0"/>
          </a:endParaRPr>
        </a:p>
      </dgm:t>
    </dgm:pt>
    <dgm:pt modelId="{DA3F3BDB-854A-4980-B383-A6A7C4B11300}" type="sibTrans" cxnId="{019908F3-00FE-4FB6-B2F4-7634D56EFF2B}">
      <dgm:prSet/>
      <dgm:spPr>
        <a:xfrm>
          <a:off x="1722458" y="-25873"/>
          <a:ext cx="2925847" cy="2925847"/>
        </a:xfrm>
        <a:custGeom>
          <a:avLst/>
          <a:gdLst/>
          <a:ahLst/>
          <a:cxnLst/>
          <a:rect l="0" t="0" r="0" b="0"/>
          <a:pathLst>
            <a:path>
              <a:moveTo>
                <a:pt x="2828574" y="1987467"/>
              </a:moveTo>
              <a:arcTo wR="1462923" hR="1462923" stAng="1260700" swAng="1236449"/>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sz="1200">
            <a:latin typeface="Times New Roman" panose="02020603050405020304" pitchFamily="18" charset="0"/>
            <a:cs typeface="Times New Roman" panose="02020603050405020304" pitchFamily="18" charset="0"/>
          </a:endParaRPr>
        </a:p>
      </dgm:t>
    </dgm:pt>
    <dgm:pt modelId="{C1120A38-1A31-465B-8C77-7368EE4F7A23}">
      <dgm:prSet phldrT="[Text]" custT="1"/>
      <dgm:spPr>
        <a:xfrm>
          <a:off x="3208745" y="2529707"/>
          <a:ext cx="1324774"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1" dirty="0">
              <a:solidFill>
                <a:sysClr val="window" lastClr="FFFFFF"/>
              </a:solidFill>
              <a:latin typeface="Times New Roman" panose="02020603050405020304" pitchFamily="18" charset="0"/>
              <a:ea typeface="+mn-ea"/>
              <a:cs typeface="Times New Roman" panose="02020603050405020304" pitchFamily="18" charset="0"/>
            </a:rPr>
            <a:t> </a:t>
          </a:r>
          <a:r>
            <a:rPr lang="en-US" sz="1200" b="0" dirty="0">
              <a:solidFill>
                <a:sysClr val="window" lastClr="FFFFFF"/>
              </a:solidFill>
              <a:latin typeface="Times New Roman" panose="02020603050405020304" pitchFamily="18" charset="0"/>
              <a:ea typeface="+mn-ea"/>
              <a:cs typeface="Times New Roman" panose="02020603050405020304" pitchFamily="18" charset="0"/>
            </a:rPr>
            <a:t>Distribution of Statistical</a:t>
          </a:r>
          <a:r>
            <a:rPr lang="en-US" sz="1200" b="0" baseline="0" dirty="0">
              <a:solidFill>
                <a:sysClr val="window" lastClr="FFFFFF"/>
              </a:solidFill>
              <a:latin typeface="Times New Roman" panose="02020603050405020304" pitchFamily="18" charset="0"/>
              <a:ea typeface="+mn-ea"/>
              <a:cs typeface="Times New Roman" panose="02020603050405020304" pitchFamily="18" charset="0"/>
            </a:rPr>
            <a:t> Modeled Risk Metrics</a:t>
          </a:r>
          <a:endParaRPr lang="en-US" sz="1200" b="0" dirty="0">
            <a:solidFill>
              <a:sysClr val="window" lastClr="FFFFFF"/>
            </a:solidFill>
            <a:latin typeface="Times New Roman" panose="02020603050405020304" pitchFamily="18" charset="0"/>
            <a:ea typeface="+mn-ea"/>
            <a:cs typeface="Times New Roman" panose="02020603050405020304" pitchFamily="18" charset="0"/>
          </a:endParaRPr>
        </a:p>
      </dgm:t>
    </dgm:pt>
    <dgm:pt modelId="{D09759CE-D585-4306-A5EA-A7EEA5A9CAEA}" type="parTrans" cxnId="{B27BC67C-28AB-48F8-A1BF-E049556EAC78}">
      <dgm:prSet/>
      <dgm:spPr/>
      <dgm:t>
        <a:bodyPr/>
        <a:lstStyle/>
        <a:p>
          <a:endParaRPr lang="en-US" sz="1200">
            <a:latin typeface="Times New Roman" panose="02020603050405020304" pitchFamily="18" charset="0"/>
            <a:cs typeface="Times New Roman" panose="02020603050405020304" pitchFamily="18" charset="0"/>
          </a:endParaRPr>
        </a:p>
      </dgm:t>
    </dgm:pt>
    <dgm:pt modelId="{21ED6038-F57B-44D5-99B5-896FF5A41532}" type="sibTrans" cxnId="{B27BC67C-28AB-48F8-A1BF-E049556EAC78}">
      <dgm:prSet/>
      <dgm:spPr>
        <a:xfrm>
          <a:off x="1868540" y="322612"/>
          <a:ext cx="2925847" cy="2925847"/>
        </a:xfrm>
        <a:custGeom>
          <a:avLst/>
          <a:gdLst/>
          <a:ahLst/>
          <a:cxnLst/>
          <a:rect l="0" t="0" r="0" b="0"/>
          <a:pathLst>
            <a:path>
              <a:moveTo>
                <a:pt x="1252608" y="2910651"/>
              </a:moveTo>
              <a:arcTo wR="1462923" hR="1462923" stAng="5895941" swAng="625628"/>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sz="1200">
            <a:latin typeface="Times New Roman" panose="02020603050405020304" pitchFamily="18" charset="0"/>
            <a:cs typeface="Times New Roman" panose="02020603050405020304" pitchFamily="18" charset="0"/>
          </a:endParaRPr>
        </a:p>
      </dgm:t>
    </dgm:pt>
    <dgm:pt modelId="{57896FFE-DBC0-44B8-B83D-54060E287C10}">
      <dgm:prSet phldrT="[Text]" custT="1"/>
      <dgm:spPr>
        <a:xfrm>
          <a:off x="1457082" y="2529699"/>
          <a:ext cx="1322893"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Measuring</a:t>
          </a:r>
          <a:r>
            <a:rPr lang="en-US" sz="1200" b="0" baseline="0" dirty="0">
              <a:solidFill>
                <a:sysClr val="window" lastClr="FFFFFF"/>
              </a:solidFill>
              <a:latin typeface="Times New Roman" panose="02020603050405020304" pitchFamily="18" charset="0"/>
              <a:ea typeface="+mn-ea"/>
              <a:cs typeface="Times New Roman" panose="02020603050405020304" pitchFamily="18" charset="0"/>
            </a:rPr>
            <a:t> Triggers on Liability Coverage</a:t>
          </a:r>
          <a:endParaRPr lang="en-US" sz="1200" b="0" dirty="0">
            <a:solidFill>
              <a:sysClr val="window" lastClr="FFFFFF"/>
            </a:solidFill>
            <a:latin typeface="Times New Roman" panose="02020603050405020304" pitchFamily="18" charset="0"/>
            <a:ea typeface="+mn-ea"/>
            <a:cs typeface="Times New Roman" panose="02020603050405020304" pitchFamily="18" charset="0"/>
          </a:endParaRPr>
        </a:p>
      </dgm:t>
    </dgm:pt>
    <dgm:pt modelId="{AE1601F6-9D74-4385-8E86-1FB5D6C0CD99}" type="parTrans" cxnId="{AED3709B-7765-4934-9009-23A90E1DD4EB}">
      <dgm:prSet/>
      <dgm:spPr/>
      <dgm:t>
        <a:bodyPr/>
        <a:lstStyle/>
        <a:p>
          <a:endParaRPr lang="en-US" sz="1200">
            <a:latin typeface="Times New Roman" panose="02020603050405020304" pitchFamily="18" charset="0"/>
            <a:cs typeface="Times New Roman" panose="02020603050405020304" pitchFamily="18" charset="0"/>
          </a:endParaRPr>
        </a:p>
      </dgm:t>
    </dgm:pt>
    <dgm:pt modelId="{4F9FA941-DBB0-42EC-AF21-C941128EC514}" type="sibTrans" cxnId="{AED3709B-7765-4934-9009-23A90E1DD4EB}">
      <dgm:prSet/>
      <dgm:spPr>
        <a:xfrm>
          <a:off x="1002830" y="-223178"/>
          <a:ext cx="2925847" cy="2925847"/>
        </a:xfrm>
        <a:custGeom>
          <a:avLst/>
          <a:gdLst/>
          <a:ahLst/>
          <a:cxnLst/>
          <a:rect l="0" t="0" r="0" b="0"/>
          <a:pathLst>
            <a:path>
              <a:moveTo>
                <a:pt x="604171" y="2647276"/>
              </a:moveTo>
              <a:arcTo wR="1462923" hR="1462923" stAng="7556711" swAng="1451922"/>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sz="1200">
            <a:latin typeface="Times New Roman" panose="02020603050405020304" pitchFamily="18" charset="0"/>
            <a:cs typeface="Times New Roman" panose="02020603050405020304" pitchFamily="18" charset="0"/>
          </a:endParaRPr>
        </a:p>
      </dgm:t>
    </dgm:pt>
    <dgm:pt modelId="{CE4A541A-3422-4178-B848-DA2758357215}">
      <dgm:prSet phldrT="[Text]" custT="1"/>
      <dgm:spPr>
        <a:xfrm>
          <a:off x="445365" y="1057299"/>
          <a:ext cx="1422279" cy="731770"/>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sz="1200" b="0" dirty="0">
              <a:solidFill>
                <a:sysClr val="window" lastClr="FFFFFF"/>
              </a:solidFill>
              <a:latin typeface="Times New Roman" panose="02020603050405020304" pitchFamily="18" charset="0"/>
              <a:ea typeface="+mn-ea"/>
              <a:cs typeface="Times New Roman" panose="02020603050405020304" pitchFamily="18" charset="0"/>
            </a:rPr>
            <a:t>Claims</a:t>
          </a:r>
          <a:r>
            <a:rPr lang="en-US" sz="1200" b="0" baseline="0" dirty="0">
              <a:solidFill>
                <a:sysClr val="window" lastClr="FFFFFF"/>
              </a:solidFill>
              <a:latin typeface="Times New Roman" panose="02020603050405020304" pitchFamily="18" charset="0"/>
              <a:ea typeface="+mn-ea"/>
              <a:cs typeface="Times New Roman" panose="02020603050405020304" pitchFamily="18" charset="0"/>
            </a:rPr>
            <a:t> Resolution and Legal Reinforcement </a:t>
          </a:r>
          <a:endParaRPr lang="en-US" sz="1200" b="0" dirty="0">
            <a:solidFill>
              <a:sysClr val="window" lastClr="FFFFFF"/>
            </a:solidFill>
            <a:latin typeface="Times New Roman" panose="02020603050405020304" pitchFamily="18" charset="0"/>
            <a:ea typeface="+mn-ea"/>
            <a:cs typeface="Times New Roman" panose="02020603050405020304" pitchFamily="18" charset="0"/>
          </a:endParaRPr>
        </a:p>
      </dgm:t>
    </dgm:pt>
    <dgm:pt modelId="{F886CECD-9A29-4CC1-94BE-2A238F058CAA}" type="parTrans" cxnId="{AB55E5CC-EB24-4EBE-8365-E2A0AB4ED30D}">
      <dgm:prSet/>
      <dgm:spPr/>
      <dgm:t>
        <a:bodyPr/>
        <a:lstStyle/>
        <a:p>
          <a:endParaRPr lang="en-US" sz="1200">
            <a:latin typeface="Times New Roman" panose="02020603050405020304" pitchFamily="18" charset="0"/>
            <a:cs typeface="Times New Roman" panose="02020603050405020304" pitchFamily="18" charset="0"/>
          </a:endParaRPr>
        </a:p>
      </dgm:t>
    </dgm:pt>
    <dgm:pt modelId="{EDC3AA18-24F7-42BE-9BFA-4C647CE5FE09}" type="sibTrans" cxnId="{AB55E5CC-EB24-4EBE-8365-E2A0AB4ED30D}">
      <dgm:prSet/>
      <dgm:spPr>
        <a:xfrm>
          <a:off x="978814" y="491065"/>
          <a:ext cx="2925847" cy="2925847"/>
        </a:xfrm>
        <a:custGeom>
          <a:avLst/>
          <a:gdLst/>
          <a:ahLst/>
          <a:cxnLst/>
          <a:rect l="0" t="0" r="0" b="0"/>
          <a:pathLst>
            <a:path>
              <a:moveTo>
                <a:pt x="460117" y="397783"/>
              </a:moveTo>
              <a:arcTo wR="1462923" hR="1462923" stAng="13603592" swAng="1679026"/>
            </a:path>
          </a:pathLst>
        </a:custGeom>
        <a:noFill/>
        <a:ln w="9525" cap="flat" cmpd="sng" algn="ctr">
          <a:solidFill>
            <a:srgbClr val="4F81BD">
              <a:hueOff val="0"/>
              <a:satOff val="0"/>
              <a:lumOff val="0"/>
              <a:alphaOff val="0"/>
            </a:srgbClr>
          </a:solidFill>
          <a:prstDash val="solid"/>
          <a:tailEnd type="arrow"/>
        </a:ln>
        <a:effectLst/>
      </dgm:spPr>
      <dgm:t>
        <a:bodyPr/>
        <a:lstStyle/>
        <a:p>
          <a:endParaRPr lang="en-US" sz="1200">
            <a:latin typeface="Times New Roman" panose="02020603050405020304" pitchFamily="18" charset="0"/>
            <a:cs typeface="Times New Roman" panose="02020603050405020304" pitchFamily="18" charset="0"/>
          </a:endParaRPr>
        </a:p>
      </dgm:t>
    </dgm:pt>
    <dgm:pt modelId="{6820CE68-D56A-417A-8E5D-780010DFF1E2}" type="pres">
      <dgm:prSet presAssocID="{F6E9BA39-615C-451A-934B-1FBE34B23F1B}" presName="cycle" presStyleCnt="0">
        <dgm:presLayoutVars>
          <dgm:dir/>
          <dgm:resizeHandles val="exact"/>
        </dgm:presLayoutVars>
      </dgm:prSet>
      <dgm:spPr/>
    </dgm:pt>
    <dgm:pt modelId="{8A29EF01-1BF5-4189-8F56-A90565C12EB0}" type="pres">
      <dgm:prSet presAssocID="{D80D3DDB-AA63-47C1-A57C-7BD5E19BC87F}" presName="node" presStyleLbl="node1" presStyleIdx="0" presStyleCnt="5" custScaleX="108317">
        <dgm:presLayoutVars>
          <dgm:bulletEnabled val="1"/>
        </dgm:presLayoutVars>
      </dgm:prSet>
      <dgm:spPr/>
    </dgm:pt>
    <dgm:pt modelId="{542FA66F-6BAB-4085-B145-7D21D7A3FD05}" type="pres">
      <dgm:prSet presAssocID="{D80D3DDB-AA63-47C1-A57C-7BD5E19BC87F}" presName="spNode" presStyleCnt="0"/>
      <dgm:spPr/>
    </dgm:pt>
    <dgm:pt modelId="{2F0D5172-CBFF-49B0-A10A-7DE55C95607F}" type="pres">
      <dgm:prSet presAssocID="{C94E0EFA-0584-46B5-8C48-98380C5A9489}" presName="sibTrans" presStyleLbl="sibTrans1D1" presStyleIdx="0" presStyleCnt="5"/>
      <dgm:spPr/>
    </dgm:pt>
    <dgm:pt modelId="{83F16D46-A2E3-4E2B-A2D0-E1F051F1E383}" type="pres">
      <dgm:prSet presAssocID="{3E839083-4DBD-41B3-B12E-E44CEC054677}" presName="node" presStyleLbl="node1" presStyleIdx="1" presStyleCnt="5" custScaleX="142015" custRadScaleRad="117160" custRadScaleInc="19170">
        <dgm:presLayoutVars>
          <dgm:bulletEnabled val="1"/>
        </dgm:presLayoutVars>
      </dgm:prSet>
      <dgm:spPr/>
    </dgm:pt>
    <dgm:pt modelId="{F37B32AD-1143-4544-AC12-CE4368B86D11}" type="pres">
      <dgm:prSet presAssocID="{3E839083-4DBD-41B3-B12E-E44CEC054677}" presName="spNode" presStyleCnt="0"/>
      <dgm:spPr/>
    </dgm:pt>
    <dgm:pt modelId="{2BE82EE4-B390-4330-9B6F-BFC8B2A155D6}" type="pres">
      <dgm:prSet presAssocID="{DA3F3BDB-854A-4980-B383-A6A7C4B11300}" presName="sibTrans" presStyleLbl="sibTrans1D1" presStyleIdx="1" presStyleCnt="5"/>
      <dgm:spPr/>
    </dgm:pt>
    <dgm:pt modelId="{AFFBDCD3-0B3B-4DDD-973D-4461131642A6}" type="pres">
      <dgm:prSet presAssocID="{C1120A38-1A31-465B-8C77-7368EE4F7A23}" presName="node" presStyleLbl="node1" presStyleIdx="2" presStyleCnt="5" custScaleX="117674" custRadScaleRad="99053" custRadScaleInc="-27733">
        <dgm:presLayoutVars>
          <dgm:bulletEnabled val="1"/>
        </dgm:presLayoutVars>
      </dgm:prSet>
      <dgm:spPr/>
    </dgm:pt>
    <dgm:pt modelId="{40DE60A5-260A-4E6B-B50D-DC0B6F2F5A5D}" type="pres">
      <dgm:prSet presAssocID="{C1120A38-1A31-465B-8C77-7368EE4F7A23}" presName="spNode" presStyleCnt="0"/>
      <dgm:spPr/>
    </dgm:pt>
    <dgm:pt modelId="{894C297C-B788-4B55-8A8E-50D365120802}" type="pres">
      <dgm:prSet presAssocID="{21ED6038-F57B-44D5-99B5-896FF5A41532}" presName="sibTrans" presStyleLbl="sibTrans1D1" presStyleIdx="2" presStyleCnt="5"/>
      <dgm:spPr/>
    </dgm:pt>
    <dgm:pt modelId="{67CBEC12-E413-4F41-99F7-E558BA20B4F9}" type="pres">
      <dgm:prSet presAssocID="{57896FFE-DBC0-44B8-B83D-54060E287C10}" presName="node" presStyleLbl="node1" presStyleIdx="3" presStyleCnt="5" custScaleX="117507" custRadScaleRad="89901" custRadScaleInc="-521">
        <dgm:presLayoutVars>
          <dgm:bulletEnabled val="1"/>
        </dgm:presLayoutVars>
      </dgm:prSet>
      <dgm:spPr/>
    </dgm:pt>
    <dgm:pt modelId="{56F12BD7-185C-475F-8F10-DAB07B7425BB}" type="pres">
      <dgm:prSet presAssocID="{57896FFE-DBC0-44B8-B83D-54060E287C10}" presName="spNode" presStyleCnt="0"/>
      <dgm:spPr/>
    </dgm:pt>
    <dgm:pt modelId="{7F0052EE-1314-446F-9B52-77E6651EE7E8}" type="pres">
      <dgm:prSet presAssocID="{4F9FA941-DBB0-42EC-AF21-C941128EC514}" presName="sibTrans" presStyleLbl="sibTrans1D1" presStyleIdx="3" presStyleCnt="5"/>
      <dgm:spPr/>
    </dgm:pt>
    <dgm:pt modelId="{73A2FAB2-8843-494B-83A5-B0B213DDFE9F}" type="pres">
      <dgm:prSet presAssocID="{CE4A541A-3422-4178-B848-DA2758357215}" presName="node" presStyleLbl="node1" presStyleIdx="4" presStyleCnt="5" custScaleX="126335" custRadScaleRad="121663" custRadScaleInc="-19961">
        <dgm:presLayoutVars>
          <dgm:bulletEnabled val="1"/>
        </dgm:presLayoutVars>
      </dgm:prSet>
      <dgm:spPr/>
    </dgm:pt>
    <dgm:pt modelId="{052A6C1E-7A84-48AD-AE66-745357076BA5}" type="pres">
      <dgm:prSet presAssocID="{CE4A541A-3422-4178-B848-DA2758357215}" presName="spNode" presStyleCnt="0"/>
      <dgm:spPr/>
    </dgm:pt>
    <dgm:pt modelId="{C95C6EC6-D56D-4EED-BF8B-0F6B6B70A84F}" type="pres">
      <dgm:prSet presAssocID="{EDC3AA18-24F7-42BE-9BFA-4C647CE5FE09}" presName="sibTrans" presStyleLbl="sibTrans1D1" presStyleIdx="4" presStyleCnt="5"/>
      <dgm:spPr/>
    </dgm:pt>
  </dgm:ptLst>
  <dgm:cxnLst>
    <dgm:cxn modelId="{B8958C01-74B5-4F74-9F16-1F8E2FEF9711}" type="presOf" srcId="{EDC3AA18-24F7-42BE-9BFA-4C647CE5FE09}" destId="{C95C6EC6-D56D-4EED-BF8B-0F6B6B70A84F}" srcOrd="0" destOrd="0" presId="urn:microsoft.com/office/officeart/2005/8/layout/cycle5"/>
    <dgm:cxn modelId="{2D589F2E-3F79-4675-A8B9-22B2C9AB488B}" type="presOf" srcId="{C94E0EFA-0584-46B5-8C48-98380C5A9489}" destId="{2F0D5172-CBFF-49B0-A10A-7DE55C95607F}" srcOrd="0" destOrd="0" presId="urn:microsoft.com/office/officeart/2005/8/layout/cycle5"/>
    <dgm:cxn modelId="{08BE5233-6402-4CE0-BBF1-64FA1FD7557F}" type="presOf" srcId="{C1120A38-1A31-465B-8C77-7368EE4F7A23}" destId="{AFFBDCD3-0B3B-4DDD-973D-4461131642A6}" srcOrd="0" destOrd="0" presId="urn:microsoft.com/office/officeart/2005/8/layout/cycle5"/>
    <dgm:cxn modelId="{8B19DD66-9554-418B-B3D4-5F6D96F33E96}" type="presOf" srcId="{DA3F3BDB-854A-4980-B383-A6A7C4B11300}" destId="{2BE82EE4-B390-4330-9B6F-BFC8B2A155D6}" srcOrd="0" destOrd="0" presId="urn:microsoft.com/office/officeart/2005/8/layout/cycle5"/>
    <dgm:cxn modelId="{49CEAA68-CF3C-4522-BACD-490168AA9FD5}" type="presOf" srcId="{3E839083-4DBD-41B3-B12E-E44CEC054677}" destId="{83F16D46-A2E3-4E2B-A2D0-E1F051F1E383}" srcOrd="0" destOrd="0" presId="urn:microsoft.com/office/officeart/2005/8/layout/cycle5"/>
    <dgm:cxn modelId="{B476BF53-6062-479F-AC7A-4890B54A5121}" type="presOf" srcId="{21ED6038-F57B-44D5-99B5-896FF5A41532}" destId="{894C297C-B788-4B55-8A8E-50D365120802}" srcOrd="0" destOrd="0" presId="urn:microsoft.com/office/officeart/2005/8/layout/cycle5"/>
    <dgm:cxn modelId="{B27BC67C-28AB-48F8-A1BF-E049556EAC78}" srcId="{F6E9BA39-615C-451A-934B-1FBE34B23F1B}" destId="{C1120A38-1A31-465B-8C77-7368EE4F7A23}" srcOrd="2" destOrd="0" parTransId="{D09759CE-D585-4306-A5EA-A7EEA5A9CAEA}" sibTransId="{21ED6038-F57B-44D5-99B5-896FF5A41532}"/>
    <dgm:cxn modelId="{01662097-7707-44B0-8791-FAE96093B07F}" type="presOf" srcId="{4F9FA941-DBB0-42EC-AF21-C941128EC514}" destId="{7F0052EE-1314-446F-9B52-77E6651EE7E8}" srcOrd="0" destOrd="0" presId="urn:microsoft.com/office/officeart/2005/8/layout/cycle5"/>
    <dgm:cxn modelId="{AED3709B-7765-4934-9009-23A90E1DD4EB}" srcId="{F6E9BA39-615C-451A-934B-1FBE34B23F1B}" destId="{57896FFE-DBC0-44B8-B83D-54060E287C10}" srcOrd="3" destOrd="0" parTransId="{AE1601F6-9D74-4385-8E86-1FB5D6C0CD99}" sibTransId="{4F9FA941-DBB0-42EC-AF21-C941128EC514}"/>
    <dgm:cxn modelId="{85EAD6A0-1D0E-4750-8A75-438570A3F188}" type="presOf" srcId="{D80D3DDB-AA63-47C1-A57C-7BD5E19BC87F}" destId="{8A29EF01-1BF5-4189-8F56-A90565C12EB0}" srcOrd="0" destOrd="0" presId="urn:microsoft.com/office/officeart/2005/8/layout/cycle5"/>
    <dgm:cxn modelId="{AB55E5CC-EB24-4EBE-8365-E2A0AB4ED30D}" srcId="{F6E9BA39-615C-451A-934B-1FBE34B23F1B}" destId="{CE4A541A-3422-4178-B848-DA2758357215}" srcOrd="4" destOrd="0" parTransId="{F886CECD-9A29-4CC1-94BE-2A238F058CAA}" sibTransId="{EDC3AA18-24F7-42BE-9BFA-4C647CE5FE09}"/>
    <dgm:cxn modelId="{DC2045D6-516E-47AA-A2D6-B673D426AC17}" type="presOf" srcId="{F6E9BA39-615C-451A-934B-1FBE34B23F1B}" destId="{6820CE68-D56A-417A-8E5D-780010DFF1E2}" srcOrd="0" destOrd="0" presId="urn:microsoft.com/office/officeart/2005/8/layout/cycle5"/>
    <dgm:cxn modelId="{F6121AE0-7FB7-45B9-B88B-5DD18DBE5A57}" srcId="{F6E9BA39-615C-451A-934B-1FBE34B23F1B}" destId="{D80D3DDB-AA63-47C1-A57C-7BD5E19BC87F}" srcOrd="0" destOrd="0" parTransId="{E94D02C8-CDA8-4DC5-9C4F-471EF810F7A4}" sibTransId="{C94E0EFA-0584-46B5-8C48-98380C5A9489}"/>
    <dgm:cxn modelId="{AC233DEB-E483-4FF2-92B9-710E062C4BF2}" type="presOf" srcId="{CE4A541A-3422-4178-B848-DA2758357215}" destId="{73A2FAB2-8843-494B-83A5-B0B213DDFE9F}" srcOrd="0" destOrd="0" presId="urn:microsoft.com/office/officeart/2005/8/layout/cycle5"/>
    <dgm:cxn modelId="{AE0C94EF-251F-4B32-A18F-39A945600663}" type="presOf" srcId="{57896FFE-DBC0-44B8-B83D-54060E287C10}" destId="{67CBEC12-E413-4F41-99F7-E558BA20B4F9}" srcOrd="0" destOrd="0" presId="urn:microsoft.com/office/officeart/2005/8/layout/cycle5"/>
    <dgm:cxn modelId="{019908F3-00FE-4FB6-B2F4-7634D56EFF2B}" srcId="{F6E9BA39-615C-451A-934B-1FBE34B23F1B}" destId="{3E839083-4DBD-41B3-B12E-E44CEC054677}" srcOrd="1" destOrd="0" parTransId="{1AFB0F3E-4D45-4373-B6FD-393E7CA572CF}" sibTransId="{DA3F3BDB-854A-4980-B383-A6A7C4B11300}"/>
    <dgm:cxn modelId="{E8224871-6FC2-4965-A39C-6CDAEB167DDF}" type="presParOf" srcId="{6820CE68-D56A-417A-8E5D-780010DFF1E2}" destId="{8A29EF01-1BF5-4189-8F56-A90565C12EB0}" srcOrd="0" destOrd="0" presId="urn:microsoft.com/office/officeart/2005/8/layout/cycle5"/>
    <dgm:cxn modelId="{7870FB38-D824-4F27-96B5-78103F9E89EF}" type="presParOf" srcId="{6820CE68-D56A-417A-8E5D-780010DFF1E2}" destId="{542FA66F-6BAB-4085-B145-7D21D7A3FD05}" srcOrd="1" destOrd="0" presId="urn:microsoft.com/office/officeart/2005/8/layout/cycle5"/>
    <dgm:cxn modelId="{E5A6C708-A5AA-411E-82C7-6FB2ED1258CD}" type="presParOf" srcId="{6820CE68-D56A-417A-8E5D-780010DFF1E2}" destId="{2F0D5172-CBFF-49B0-A10A-7DE55C95607F}" srcOrd="2" destOrd="0" presId="urn:microsoft.com/office/officeart/2005/8/layout/cycle5"/>
    <dgm:cxn modelId="{78C95DBC-73F6-438C-B4B2-6800134977CF}" type="presParOf" srcId="{6820CE68-D56A-417A-8E5D-780010DFF1E2}" destId="{83F16D46-A2E3-4E2B-A2D0-E1F051F1E383}" srcOrd="3" destOrd="0" presId="urn:microsoft.com/office/officeart/2005/8/layout/cycle5"/>
    <dgm:cxn modelId="{75BD1624-72C5-4D0F-8CA8-013F669F175F}" type="presParOf" srcId="{6820CE68-D56A-417A-8E5D-780010DFF1E2}" destId="{F37B32AD-1143-4544-AC12-CE4368B86D11}" srcOrd="4" destOrd="0" presId="urn:microsoft.com/office/officeart/2005/8/layout/cycle5"/>
    <dgm:cxn modelId="{0F094935-04F2-4A56-8418-B3FF4E634D63}" type="presParOf" srcId="{6820CE68-D56A-417A-8E5D-780010DFF1E2}" destId="{2BE82EE4-B390-4330-9B6F-BFC8B2A155D6}" srcOrd="5" destOrd="0" presId="urn:microsoft.com/office/officeart/2005/8/layout/cycle5"/>
    <dgm:cxn modelId="{06316C6F-390A-48DC-97B4-284CCB3A73D7}" type="presParOf" srcId="{6820CE68-D56A-417A-8E5D-780010DFF1E2}" destId="{AFFBDCD3-0B3B-4DDD-973D-4461131642A6}" srcOrd="6" destOrd="0" presId="urn:microsoft.com/office/officeart/2005/8/layout/cycle5"/>
    <dgm:cxn modelId="{B4D11EF2-4181-49CB-B177-35DB50FBC0FD}" type="presParOf" srcId="{6820CE68-D56A-417A-8E5D-780010DFF1E2}" destId="{40DE60A5-260A-4E6B-B50D-DC0B6F2F5A5D}" srcOrd="7" destOrd="0" presId="urn:microsoft.com/office/officeart/2005/8/layout/cycle5"/>
    <dgm:cxn modelId="{F6ACBF58-3699-4EEE-901C-5E163CCC9D6B}" type="presParOf" srcId="{6820CE68-D56A-417A-8E5D-780010DFF1E2}" destId="{894C297C-B788-4B55-8A8E-50D365120802}" srcOrd="8" destOrd="0" presId="urn:microsoft.com/office/officeart/2005/8/layout/cycle5"/>
    <dgm:cxn modelId="{563D7B61-5D89-494A-A0BE-725250AEC9DC}" type="presParOf" srcId="{6820CE68-D56A-417A-8E5D-780010DFF1E2}" destId="{67CBEC12-E413-4F41-99F7-E558BA20B4F9}" srcOrd="9" destOrd="0" presId="urn:microsoft.com/office/officeart/2005/8/layout/cycle5"/>
    <dgm:cxn modelId="{EDF819AD-A6AE-4069-9F87-7EA42AD76187}" type="presParOf" srcId="{6820CE68-D56A-417A-8E5D-780010DFF1E2}" destId="{56F12BD7-185C-475F-8F10-DAB07B7425BB}" srcOrd="10" destOrd="0" presId="urn:microsoft.com/office/officeart/2005/8/layout/cycle5"/>
    <dgm:cxn modelId="{9584D01A-2841-48DA-B72C-DD4BF8F91C97}" type="presParOf" srcId="{6820CE68-D56A-417A-8E5D-780010DFF1E2}" destId="{7F0052EE-1314-446F-9B52-77E6651EE7E8}" srcOrd="11" destOrd="0" presId="urn:microsoft.com/office/officeart/2005/8/layout/cycle5"/>
    <dgm:cxn modelId="{D1098067-F5F4-4DAF-B70D-146A563404B2}" type="presParOf" srcId="{6820CE68-D56A-417A-8E5D-780010DFF1E2}" destId="{73A2FAB2-8843-494B-83A5-B0B213DDFE9F}" srcOrd="12" destOrd="0" presId="urn:microsoft.com/office/officeart/2005/8/layout/cycle5"/>
    <dgm:cxn modelId="{7F7C8A64-79CC-44F6-8FB9-A1DDFD13B1D3}" type="presParOf" srcId="{6820CE68-D56A-417A-8E5D-780010DFF1E2}" destId="{052A6C1E-7A84-48AD-AE66-745357076BA5}" srcOrd="13" destOrd="0" presId="urn:microsoft.com/office/officeart/2005/8/layout/cycle5"/>
    <dgm:cxn modelId="{E72E15D9-7131-4007-932E-1E320C780124}" type="presParOf" srcId="{6820CE68-D56A-417A-8E5D-780010DFF1E2}" destId="{C95C6EC6-D56D-4EED-BF8B-0F6B6B70A84F}" srcOrd="14" destOrd="0" presId="urn:microsoft.com/office/officeart/2005/8/layout/cycle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29EF01-1BF5-4189-8F56-A90565C12EB0}">
      <dsp:nvSpPr>
        <dsp:cNvPr id="0" name=""/>
        <dsp:cNvSpPr/>
      </dsp:nvSpPr>
      <dsp:spPr>
        <a:xfrm>
          <a:off x="2441935" y="1992"/>
          <a:ext cx="1119394" cy="727606"/>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Review and Second Cycle</a:t>
          </a:r>
        </a:p>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2018 -2021</a:t>
          </a:r>
        </a:p>
      </dsp:txBody>
      <dsp:txXfrm>
        <a:off x="2477454" y="37511"/>
        <a:ext cx="1048356" cy="656568"/>
      </dsp:txXfrm>
    </dsp:sp>
    <dsp:sp modelId="{2F0D5172-CBFF-49B0-A10A-7DE55C95607F}">
      <dsp:nvSpPr>
        <dsp:cNvPr id="0" name=""/>
        <dsp:cNvSpPr/>
      </dsp:nvSpPr>
      <dsp:spPr>
        <a:xfrm>
          <a:off x="1547715" y="365795"/>
          <a:ext cx="2907834" cy="2907834"/>
        </a:xfrm>
        <a:custGeom>
          <a:avLst/>
          <a:gdLst/>
          <a:ahLst/>
          <a:cxnLst/>
          <a:rect l="0" t="0" r="0" b="0"/>
          <a:pathLst>
            <a:path>
              <a:moveTo>
                <a:pt x="2176869" y="186041"/>
              </a:moveTo>
              <a:arcTo wR="1462923" hR="1462923" stAng="17952656" swAng="1212775"/>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83F16D46-A2E3-4E2B-A2D0-E1F051F1E383}">
      <dsp:nvSpPr>
        <dsp:cNvPr id="0" name=""/>
        <dsp:cNvSpPr/>
      </dsp:nvSpPr>
      <dsp:spPr>
        <a:xfrm>
          <a:off x="3673541" y="1006624"/>
          <a:ext cx="1421698" cy="727606"/>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Initial Conditions by 2012 (+ 6 years)</a:t>
          </a:r>
        </a:p>
      </dsp:txBody>
      <dsp:txXfrm>
        <a:off x="3709060" y="1042143"/>
        <a:ext cx="1350660" cy="656568"/>
      </dsp:txXfrm>
    </dsp:sp>
    <dsp:sp modelId="{2BE82EE4-B390-4330-9B6F-BFC8B2A155D6}">
      <dsp:nvSpPr>
        <dsp:cNvPr id="0" name=""/>
        <dsp:cNvSpPr/>
      </dsp:nvSpPr>
      <dsp:spPr>
        <a:xfrm>
          <a:off x="1547715" y="365795"/>
          <a:ext cx="2907834" cy="2907834"/>
        </a:xfrm>
        <a:custGeom>
          <a:avLst/>
          <a:gdLst/>
          <a:ahLst/>
          <a:cxnLst/>
          <a:rect l="0" t="0" r="0" b="0"/>
          <a:pathLst>
            <a:path>
              <a:moveTo>
                <a:pt x="2922350" y="1564019"/>
              </a:moveTo>
              <a:arcTo wR="1462923" hR="1462923" stAng="21837755" swAng="136068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AFFBDCD3-0B3B-4DDD-973D-4461131642A6}">
      <dsp:nvSpPr>
        <dsp:cNvPr id="0" name=""/>
        <dsp:cNvSpPr/>
      </dsp:nvSpPr>
      <dsp:spPr>
        <a:xfrm>
          <a:off x="3296526" y="2632153"/>
          <a:ext cx="1119394" cy="727606"/>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Monitoring </a:t>
          </a:r>
          <a:r>
            <a:rPr lang="en-US" sz="1100" b="0" kern="1200" dirty="0">
              <a:solidFill>
                <a:sysClr val="window" lastClr="FFFFFF"/>
              </a:solidFill>
              <a:latin typeface="Times New Roman" panose="02020603050405020304" pitchFamily="18" charset="0"/>
              <a:ea typeface="+mn-ea"/>
              <a:cs typeface="Times New Roman" panose="02020603050405020304" pitchFamily="18" charset="0"/>
            </a:rPr>
            <a:t>Program</a:t>
          </a:r>
          <a:endParaRPr lang="en-US" sz="1200" b="0" kern="1200" dirty="0">
            <a:solidFill>
              <a:sysClr val="window" lastClr="FFFFFF"/>
            </a:solidFill>
            <a:latin typeface="Times New Roman" panose="02020603050405020304" pitchFamily="18" charset="0"/>
            <a:ea typeface="+mn-ea"/>
            <a:cs typeface="Times New Roman" panose="02020603050405020304" pitchFamily="18" charset="0"/>
          </a:endParaRPr>
        </a:p>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2014</a:t>
          </a:r>
        </a:p>
      </dsp:txBody>
      <dsp:txXfrm>
        <a:off x="3332045" y="2667672"/>
        <a:ext cx="1048356" cy="656568"/>
      </dsp:txXfrm>
    </dsp:sp>
    <dsp:sp modelId="{894C297C-B788-4B55-8A8E-50D365120802}">
      <dsp:nvSpPr>
        <dsp:cNvPr id="0" name=""/>
        <dsp:cNvSpPr/>
      </dsp:nvSpPr>
      <dsp:spPr>
        <a:xfrm>
          <a:off x="1676340" y="345114"/>
          <a:ext cx="2907834" cy="2907834"/>
        </a:xfrm>
        <a:custGeom>
          <a:avLst/>
          <a:gdLst/>
          <a:ahLst/>
          <a:cxnLst/>
          <a:rect l="0" t="0" r="0" b="0"/>
          <a:pathLst>
            <a:path>
              <a:moveTo>
                <a:pt x="1522509" y="2924633"/>
              </a:moveTo>
              <a:arcTo wR="1462923" hR="1462923" stAng="5259939" swAng="772002"/>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67CBEC12-E413-4F41-99F7-E558BA20B4F9}">
      <dsp:nvSpPr>
        <dsp:cNvPr id="0" name=""/>
        <dsp:cNvSpPr/>
      </dsp:nvSpPr>
      <dsp:spPr>
        <a:xfrm>
          <a:off x="1640092" y="2611055"/>
          <a:ext cx="1119394" cy="727606"/>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Measures Program 2015</a:t>
          </a:r>
        </a:p>
      </dsp:txBody>
      <dsp:txXfrm>
        <a:off x="1675611" y="2646574"/>
        <a:ext cx="1048356" cy="656568"/>
      </dsp:txXfrm>
    </dsp:sp>
    <dsp:sp modelId="{7F0052EE-1314-446F-9B52-77E6651EE7E8}">
      <dsp:nvSpPr>
        <dsp:cNvPr id="0" name=""/>
        <dsp:cNvSpPr/>
      </dsp:nvSpPr>
      <dsp:spPr>
        <a:xfrm>
          <a:off x="1550215" y="287100"/>
          <a:ext cx="2907834" cy="2907834"/>
        </a:xfrm>
        <a:custGeom>
          <a:avLst/>
          <a:gdLst/>
          <a:ahLst/>
          <a:cxnLst/>
          <a:rect l="0" t="0" r="0" b="0"/>
          <a:pathLst>
            <a:path>
              <a:moveTo>
                <a:pt x="189456" y="2182941"/>
              </a:moveTo>
              <a:arcTo wR="1462923" hR="1462923" stAng="9030973" swAng="1348780"/>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73A2FAB2-8843-494B-83A5-B0B213DDFE9F}">
      <dsp:nvSpPr>
        <dsp:cNvPr id="0" name=""/>
        <dsp:cNvSpPr/>
      </dsp:nvSpPr>
      <dsp:spPr>
        <a:xfrm>
          <a:off x="1059178" y="1006624"/>
          <a:ext cx="1119394" cy="727606"/>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Strategy in-place by 2016</a:t>
          </a:r>
        </a:p>
      </dsp:txBody>
      <dsp:txXfrm>
        <a:off x="1094697" y="1042143"/>
        <a:ext cx="1048356" cy="656568"/>
      </dsp:txXfrm>
    </dsp:sp>
    <dsp:sp modelId="{C95C6EC6-D56D-4EED-BF8B-0F6B6B70A84F}">
      <dsp:nvSpPr>
        <dsp:cNvPr id="0" name=""/>
        <dsp:cNvSpPr/>
      </dsp:nvSpPr>
      <dsp:spPr>
        <a:xfrm>
          <a:off x="1547715" y="365795"/>
          <a:ext cx="2907834" cy="2907834"/>
        </a:xfrm>
        <a:custGeom>
          <a:avLst/>
          <a:gdLst/>
          <a:ahLst/>
          <a:cxnLst/>
          <a:rect l="0" t="0" r="0" b="0"/>
          <a:pathLst>
            <a:path>
              <a:moveTo>
                <a:pt x="351771" y="511353"/>
              </a:moveTo>
              <a:arcTo wR="1462923" hR="1462923" stAng="13234568" swAng="1212775"/>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29EF01-1BF5-4189-8F56-A90565C12EB0}">
      <dsp:nvSpPr>
        <dsp:cNvPr id="0" name=""/>
        <dsp:cNvSpPr/>
      </dsp:nvSpPr>
      <dsp:spPr>
        <a:xfrm>
          <a:off x="2489056" y="719"/>
          <a:ext cx="1362192" cy="817438"/>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Environmental Liability Directive 2008</a:t>
          </a:r>
        </a:p>
      </dsp:txBody>
      <dsp:txXfrm>
        <a:off x="2528960" y="40623"/>
        <a:ext cx="1282384" cy="737630"/>
      </dsp:txXfrm>
    </dsp:sp>
    <dsp:sp modelId="{2F0D5172-CBFF-49B0-A10A-7DE55C95607F}">
      <dsp:nvSpPr>
        <dsp:cNvPr id="0" name=""/>
        <dsp:cNvSpPr/>
      </dsp:nvSpPr>
      <dsp:spPr>
        <a:xfrm>
          <a:off x="1941003" y="534635"/>
          <a:ext cx="3267979" cy="3267979"/>
        </a:xfrm>
        <a:custGeom>
          <a:avLst/>
          <a:gdLst/>
          <a:ahLst/>
          <a:cxnLst/>
          <a:rect l="0" t="0" r="0" b="0"/>
          <a:pathLst>
            <a:path>
              <a:moveTo>
                <a:pt x="1920558" y="73421"/>
              </a:moveTo>
              <a:arcTo wR="1462923" hR="1462923" stAng="17293763" swAng="159189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83F16D46-A2E3-4E2B-A2D0-E1F051F1E383}">
      <dsp:nvSpPr>
        <dsp:cNvPr id="0" name=""/>
        <dsp:cNvSpPr/>
      </dsp:nvSpPr>
      <dsp:spPr>
        <a:xfrm>
          <a:off x="4139434" y="1191081"/>
          <a:ext cx="1785977" cy="817438"/>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Definition</a:t>
          </a:r>
          <a:r>
            <a:rPr lang="en-US" sz="1200" b="0" kern="1200" baseline="0" dirty="0">
              <a:solidFill>
                <a:sysClr val="window" lastClr="FFFFFF"/>
              </a:solidFill>
              <a:latin typeface="Times New Roman" panose="02020603050405020304" pitchFamily="18" charset="0"/>
              <a:ea typeface="+mn-ea"/>
              <a:cs typeface="Times New Roman" panose="02020603050405020304" pitchFamily="18" charset="0"/>
            </a:rPr>
            <a:t> of Insurable Scenarios</a:t>
          </a:r>
        </a:p>
        <a:p>
          <a:pPr marL="0" lvl="0" indent="0" algn="ctr" defTabSz="533400">
            <a:lnSpc>
              <a:spcPct val="90000"/>
            </a:lnSpc>
            <a:spcBef>
              <a:spcPct val="0"/>
            </a:spcBef>
            <a:spcAft>
              <a:spcPts val="0"/>
            </a:spcAft>
            <a:buNone/>
          </a:pPr>
          <a:r>
            <a:rPr lang="en-US" sz="1200" b="0" kern="1200" baseline="0" dirty="0">
              <a:solidFill>
                <a:sysClr val="window" lastClr="FFFFFF"/>
              </a:solidFill>
              <a:latin typeface="Times New Roman" panose="02020603050405020304" pitchFamily="18" charset="0"/>
              <a:ea typeface="+mn-ea"/>
              <a:cs typeface="Times New Roman" panose="02020603050405020304" pitchFamily="18" charset="0"/>
            </a:rPr>
            <a:t>and Insurance Coverage</a:t>
          </a:r>
          <a:endParaRPr lang="en-US" sz="1200" b="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4179338" y="1230985"/>
        <a:ext cx="1706169" cy="737630"/>
      </dsp:txXfrm>
    </dsp:sp>
    <dsp:sp modelId="{2BE82EE4-B390-4330-9B6F-BFC8B2A155D6}">
      <dsp:nvSpPr>
        <dsp:cNvPr id="0" name=""/>
        <dsp:cNvSpPr/>
      </dsp:nvSpPr>
      <dsp:spPr>
        <a:xfrm>
          <a:off x="1866948" y="-29390"/>
          <a:ext cx="3267979" cy="3267979"/>
        </a:xfrm>
        <a:custGeom>
          <a:avLst/>
          <a:gdLst/>
          <a:ahLst/>
          <a:cxnLst/>
          <a:rect l="0" t="0" r="0" b="0"/>
          <a:pathLst>
            <a:path>
              <a:moveTo>
                <a:pt x="2828574" y="1987467"/>
              </a:moveTo>
              <a:arcTo wR="1462923" hR="1462923" stAng="1260700" swAng="1236449"/>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AFFBDCD3-0B3B-4DDD-973D-4461131642A6}">
      <dsp:nvSpPr>
        <dsp:cNvPr id="0" name=""/>
        <dsp:cNvSpPr/>
      </dsp:nvSpPr>
      <dsp:spPr>
        <a:xfrm>
          <a:off x="3526916" y="2825024"/>
          <a:ext cx="1479865" cy="817438"/>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solidFill>
                <a:sysClr val="window" lastClr="FFFFFF"/>
              </a:solidFill>
              <a:latin typeface="Times New Roman" panose="02020603050405020304" pitchFamily="18" charset="0"/>
              <a:ea typeface="+mn-ea"/>
              <a:cs typeface="Times New Roman" panose="02020603050405020304" pitchFamily="18" charset="0"/>
            </a:rPr>
            <a:t> </a:t>
          </a: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Distribution of Statistical</a:t>
          </a:r>
          <a:r>
            <a:rPr lang="en-US" sz="1200" b="0" kern="1200" baseline="0" dirty="0">
              <a:solidFill>
                <a:sysClr val="window" lastClr="FFFFFF"/>
              </a:solidFill>
              <a:latin typeface="Times New Roman" panose="02020603050405020304" pitchFamily="18" charset="0"/>
              <a:ea typeface="+mn-ea"/>
              <a:cs typeface="Times New Roman" panose="02020603050405020304" pitchFamily="18" charset="0"/>
            </a:rPr>
            <a:t> Modeled Risk Metrics</a:t>
          </a:r>
          <a:endParaRPr lang="en-US" sz="1200" b="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566820" y="2864928"/>
        <a:ext cx="1400057" cy="737630"/>
      </dsp:txXfrm>
    </dsp:sp>
    <dsp:sp modelId="{894C297C-B788-4B55-8A8E-50D365120802}">
      <dsp:nvSpPr>
        <dsp:cNvPr id="0" name=""/>
        <dsp:cNvSpPr/>
      </dsp:nvSpPr>
      <dsp:spPr>
        <a:xfrm>
          <a:off x="2030262" y="359937"/>
          <a:ext cx="3267979" cy="3267979"/>
        </a:xfrm>
        <a:custGeom>
          <a:avLst/>
          <a:gdLst/>
          <a:ahLst/>
          <a:cxnLst/>
          <a:rect l="0" t="0" r="0" b="0"/>
          <a:pathLst>
            <a:path>
              <a:moveTo>
                <a:pt x="1252608" y="2910651"/>
              </a:moveTo>
              <a:arcTo wR="1462923" hR="1462923" stAng="5895941" swAng="625628"/>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67CBEC12-E413-4F41-99F7-E558BA20B4F9}">
      <dsp:nvSpPr>
        <dsp:cNvPr id="0" name=""/>
        <dsp:cNvSpPr/>
      </dsp:nvSpPr>
      <dsp:spPr>
        <a:xfrm>
          <a:off x="1570424" y="2825015"/>
          <a:ext cx="1477765" cy="817438"/>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Measuring</a:t>
          </a:r>
          <a:r>
            <a:rPr lang="en-US" sz="1200" b="0" kern="1200" baseline="0" dirty="0">
              <a:solidFill>
                <a:sysClr val="window" lastClr="FFFFFF"/>
              </a:solidFill>
              <a:latin typeface="Times New Roman" panose="02020603050405020304" pitchFamily="18" charset="0"/>
              <a:ea typeface="+mn-ea"/>
              <a:cs typeface="Times New Roman" panose="02020603050405020304" pitchFamily="18" charset="0"/>
            </a:rPr>
            <a:t> Triggers on Liability Coverage</a:t>
          </a:r>
          <a:endParaRPr lang="en-US" sz="1200" b="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610328" y="2864919"/>
        <a:ext cx="1397957" cy="737630"/>
      </dsp:txXfrm>
    </dsp:sp>
    <dsp:sp modelId="{7F0052EE-1314-446F-9B52-77E6651EE7E8}">
      <dsp:nvSpPr>
        <dsp:cNvPr id="0" name=""/>
        <dsp:cNvSpPr/>
      </dsp:nvSpPr>
      <dsp:spPr>
        <a:xfrm>
          <a:off x="1063100" y="-249775"/>
          <a:ext cx="3267979" cy="3267979"/>
        </a:xfrm>
        <a:custGeom>
          <a:avLst/>
          <a:gdLst/>
          <a:ahLst/>
          <a:cxnLst/>
          <a:rect l="0" t="0" r="0" b="0"/>
          <a:pathLst>
            <a:path>
              <a:moveTo>
                <a:pt x="604171" y="2647276"/>
              </a:moveTo>
              <a:arcTo wR="1462923" hR="1462923" stAng="7556711" swAng="1451922"/>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73A2FAB2-8843-494B-83A5-B0B213DDFE9F}">
      <dsp:nvSpPr>
        <dsp:cNvPr id="0" name=""/>
        <dsp:cNvSpPr/>
      </dsp:nvSpPr>
      <dsp:spPr>
        <a:xfrm>
          <a:off x="440396" y="1180440"/>
          <a:ext cx="1588785" cy="817438"/>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 lastClr="FFFFFF"/>
              </a:solidFill>
              <a:latin typeface="Times New Roman" panose="02020603050405020304" pitchFamily="18" charset="0"/>
              <a:ea typeface="+mn-ea"/>
              <a:cs typeface="Times New Roman" panose="02020603050405020304" pitchFamily="18" charset="0"/>
            </a:rPr>
            <a:t>Claims</a:t>
          </a:r>
          <a:r>
            <a:rPr lang="en-US" sz="1200" b="0" kern="1200" baseline="0" dirty="0">
              <a:solidFill>
                <a:sysClr val="window" lastClr="FFFFFF"/>
              </a:solidFill>
              <a:latin typeface="Times New Roman" panose="02020603050405020304" pitchFamily="18" charset="0"/>
              <a:ea typeface="+mn-ea"/>
              <a:cs typeface="Times New Roman" panose="02020603050405020304" pitchFamily="18" charset="0"/>
            </a:rPr>
            <a:t> Resolution and Legal Reinforcement </a:t>
          </a:r>
          <a:endParaRPr lang="en-US" sz="1200" b="0"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480300" y="1220344"/>
        <a:ext cx="1508977" cy="737630"/>
      </dsp:txXfrm>
    </dsp:sp>
    <dsp:sp modelId="{C95C6EC6-D56D-4EED-BF8B-0F6B6B70A84F}">
      <dsp:nvSpPr>
        <dsp:cNvPr id="0" name=""/>
        <dsp:cNvSpPr/>
      </dsp:nvSpPr>
      <dsp:spPr>
        <a:xfrm>
          <a:off x="1036279" y="548077"/>
          <a:ext cx="3267979" cy="3267979"/>
        </a:xfrm>
        <a:custGeom>
          <a:avLst/>
          <a:gdLst/>
          <a:ahLst/>
          <a:cxnLst/>
          <a:rect l="0" t="0" r="0" b="0"/>
          <a:pathLst>
            <a:path>
              <a:moveTo>
                <a:pt x="460117" y="397783"/>
              </a:moveTo>
              <a:arcTo wR="1462923" hR="1462923" stAng="13603592" swAng="1679026"/>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9FA32-7299-41BF-93EF-AEFF937F6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8681</Words>
  <Characters>49484</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2019-10-20T21:03:00Z</dcterms:created>
  <dcterms:modified xsi:type="dcterms:W3CDTF">2020-03-26T15:23:00Z</dcterms:modified>
</cp:coreProperties>
</file>