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Early Childhood Education Hope-Based Interventions to the Global Climate Crisis </w:t>
      </w:r>
    </w:p>
    <w:p w:rsidR="00000000" w:rsidDel="00000000" w:rsidP="00000000" w:rsidRDefault="00000000" w:rsidRPr="00000000" w14:paraId="00000002">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Gretchen Miller Marino</w:t>
      </w:r>
    </w:p>
    <w:p w:rsidR="00000000" w:rsidDel="00000000" w:rsidP="00000000" w:rsidRDefault="00000000" w:rsidRPr="00000000" w14:paraId="00000003">
      <w:pPr>
        <w:spacing w:line="480" w:lineRule="auto"/>
        <w:ind w:firstLine="720"/>
        <w:rPr/>
      </w:pPr>
      <w:r w:rsidDel="00000000" w:rsidR="00000000" w:rsidRPr="00000000">
        <w:rPr>
          <w:rFonts w:ascii="Times New Roman" w:cs="Times New Roman" w:eastAsia="Times New Roman" w:hAnsi="Times New Roman"/>
          <w:sz w:val="24"/>
          <w:szCs w:val="24"/>
          <w:rtl w:val="0"/>
        </w:rPr>
        <w:t xml:space="preserve">As our climate undergoes serious crisis-based challenges, the generation of children growing and learning within this environment are experiencing a new emotional response. The new term is defined as eco-anxiety. As children develop an understanding of the impacts of global climate change through their increased awareness of social issues, much of that development is through representation in the media. In response to learning about the current ecological disasters, young television and media consumers may experience a fear-based response to the climate crisis. As children consume more information about climate change, there is a need to additionally effectively educate them on how they can take action steps for their concerns and anxiety. With increased concern, there also grows an increasing urgency to provide an educational basis to ease fear. Additionally, the United Nations has stressed the need to review and reorientate the present educational and teaching and learning programs in order to address the causes and consequences of climate change. Reflecting on this research, it is crucial to instill hope that there is potential of stopping the impacts of global climate change for the generation of current childhood learners. </w:t>
      </w: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