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059" w:rsidRDefault="00E63059" w:rsidP="00E63059">
      <w:pPr>
        <w:jc w:val="center"/>
        <w:rPr>
          <w:rFonts w:ascii="TimesNewRoman" w:hAnsi="TimesNewRoman" w:cs="TimesNewRoman"/>
          <w:sz w:val="20"/>
          <w:szCs w:val="20"/>
          <w:lang w:bidi="ar-SA"/>
        </w:rPr>
      </w:pPr>
    </w:p>
    <w:p w:rsidR="00E63059" w:rsidRPr="00ED02E6" w:rsidRDefault="00506BC1" w:rsidP="00ED02E6">
      <w:pPr>
        <w:rPr>
          <w:sz w:val="28"/>
          <w:szCs w:val="28"/>
        </w:rPr>
      </w:pPr>
      <w:r w:rsidRPr="00ED02E6">
        <w:rPr>
          <w:sz w:val="28"/>
          <w:szCs w:val="28"/>
        </w:rPr>
        <w:t xml:space="preserve">The Relationship between Climate Change and Groundwater Recharge in </w:t>
      </w:r>
      <w:proofErr w:type="spellStart"/>
      <w:r w:rsidRPr="00ED02E6">
        <w:rPr>
          <w:sz w:val="28"/>
          <w:szCs w:val="28"/>
        </w:rPr>
        <w:t>Tuyserkan</w:t>
      </w:r>
      <w:proofErr w:type="spellEnd"/>
      <w:r w:rsidRPr="00ED02E6">
        <w:rPr>
          <w:sz w:val="28"/>
          <w:szCs w:val="28"/>
        </w:rPr>
        <w:t xml:space="preserve"> Plain, Hamadan Province, A case study western part of Iran</w:t>
      </w:r>
    </w:p>
    <w:p w:rsidR="00F2048D" w:rsidRDefault="00F2048D" w:rsidP="00F2048D">
      <w:pPr>
        <w:spacing w:line="240" w:lineRule="atLeast"/>
        <w:jc w:val="center"/>
        <w:rPr>
          <w:rFonts w:ascii="TimesNewRoman" w:hAnsi="TimesNewRoman" w:cs="TimesNewRoman"/>
          <w:sz w:val="20"/>
          <w:szCs w:val="20"/>
          <w:lang w:bidi="ar-SA"/>
        </w:rPr>
      </w:pPr>
    </w:p>
    <w:p w:rsidR="00E63059" w:rsidRPr="00ED02E6" w:rsidRDefault="00E63059" w:rsidP="00F2048D">
      <w:pPr>
        <w:spacing w:line="240" w:lineRule="atLeast"/>
        <w:jc w:val="center"/>
        <w:rPr>
          <w:rFonts w:ascii="TimesNewRoman" w:hAnsi="TimesNewRoman" w:cs="TimesNewRoman"/>
          <w:sz w:val="20"/>
          <w:szCs w:val="20"/>
          <w:lang w:bidi="ar-SA"/>
        </w:rPr>
      </w:pPr>
      <w:r w:rsidRPr="00ED02E6">
        <w:rPr>
          <w:rFonts w:ascii="TimesNewRoman" w:hAnsi="TimesNewRoman" w:cs="TimesNewRoman"/>
          <w:sz w:val="20"/>
          <w:szCs w:val="20"/>
          <w:vertAlign w:val="superscript"/>
          <w:lang w:bidi="ar-SA"/>
        </w:rPr>
        <w:t>1</w:t>
      </w:r>
      <w:r w:rsidRPr="00ED02E6">
        <w:rPr>
          <w:rFonts w:ascii="TimesNewRoman" w:hAnsi="TimesNewRoman" w:cs="TimesNewRoman"/>
          <w:sz w:val="20"/>
          <w:szCs w:val="20"/>
          <w:lang w:bidi="ar-SA"/>
        </w:rPr>
        <w:t xml:space="preserve">Taheri </w:t>
      </w:r>
      <w:proofErr w:type="spellStart"/>
      <w:r w:rsidRPr="00ED02E6">
        <w:rPr>
          <w:rFonts w:ascii="TimesNewRoman" w:hAnsi="TimesNewRoman" w:cs="TimesNewRoman"/>
          <w:sz w:val="20"/>
          <w:szCs w:val="20"/>
          <w:lang w:bidi="ar-SA"/>
        </w:rPr>
        <w:t>Tizro</w:t>
      </w:r>
      <w:proofErr w:type="spellEnd"/>
      <w:r w:rsidRPr="00ED02E6">
        <w:rPr>
          <w:rFonts w:ascii="TimesNewRoman" w:hAnsi="TimesNewRoman" w:cs="TimesNewRoman"/>
          <w:sz w:val="20"/>
          <w:szCs w:val="20"/>
          <w:lang w:bidi="ar-SA"/>
        </w:rPr>
        <w:t xml:space="preserve">, </w:t>
      </w:r>
      <w:proofErr w:type="spellStart"/>
      <w:proofErr w:type="gramStart"/>
      <w:r w:rsidRPr="00ED02E6">
        <w:rPr>
          <w:rFonts w:ascii="TimesNewRoman" w:hAnsi="TimesNewRoman" w:cs="TimesNewRoman"/>
          <w:sz w:val="20"/>
          <w:szCs w:val="20"/>
          <w:lang w:bidi="ar-SA"/>
        </w:rPr>
        <w:t>Aand</w:t>
      </w:r>
      <w:proofErr w:type="spellEnd"/>
      <w:r w:rsidRPr="00ED02E6">
        <w:rPr>
          <w:rFonts w:ascii="TimesNewRoman" w:hAnsi="TimesNewRoman" w:cs="TimesNewRoman"/>
          <w:sz w:val="20"/>
          <w:szCs w:val="20"/>
          <w:lang w:bidi="ar-SA"/>
        </w:rPr>
        <w:t xml:space="preserve">  </w:t>
      </w:r>
      <w:r w:rsidRPr="00ED02E6">
        <w:rPr>
          <w:rFonts w:ascii="TimesNewRoman" w:hAnsi="TimesNewRoman" w:cs="TimesNewRoman"/>
          <w:sz w:val="20"/>
          <w:szCs w:val="20"/>
          <w:vertAlign w:val="superscript"/>
          <w:lang w:bidi="ar-SA"/>
        </w:rPr>
        <w:t>2</w:t>
      </w:r>
      <w:r w:rsidRPr="00ED02E6">
        <w:rPr>
          <w:rFonts w:ascii="TimesNewRoman" w:hAnsi="TimesNewRoman" w:cs="TimesNewRoman"/>
          <w:sz w:val="20"/>
          <w:szCs w:val="20"/>
          <w:lang w:bidi="ar-SA"/>
        </w:rPr>
        <w:t>Mashhadian</w:t>
      </w:r>
      <w:proofErr w:type="gramEnd"/>
      <w:r w:rsidRPr="00ED02E6">
        <w:rPr>
          <w:rFonts w:ascii="TimesNewRoman" w:hAnsi="TimesNewRoman" w:cs="TimesNewRoman"/>
          <w:sz w:val="20"/>
          <w:szCs w:val="20"/>
          <w:lang w:bidi="ar-SA"/>
        </w:rPr>
        <w:t>, M.J.</w:t>
      </w:r>
    </w:p>
    <w:p w:rsidR="007A10D8" w:rsidRPr="00ED02E6" w:rsidRDefault="00E63059" w:rsidP="00F2048D">
      <w:pPr>
        <w:spacing w:line="240" w:lineRule="atLeast"/>
        <w:jc w:val="center"/>
        <w:rPr>
          <w:rFonts w:ascii="Times New Roman" w:hAnsi="Times New Roman" w:cs="Times New Roman"/>
          <w:i/>
          <w:iCs/>
          <w:sz w:val="20"/>
          <w:szCs w:val="20"/>
          <w:lang w:bidi="ar-SA"/>
        </w:rPr>
      </w:pPr>
      <w:r w:rsidRPr="00ED02E6">
        <w:rPr>
          <w:rFonts w:ascii="Times New Roman" w:hAnsi="Times New Roman" w:cs="Times New Roman"/>
          <w:i/>
          <w:iCs/>
          <w:sz w:val="20"/>
          <w:szCs w:val="20"/>
          <w:vertAlign w:val="superscript"/>
          <w:lang w:bidi="ar-SA"/>
        </w:rPr>
        <w:t>1</w:t>
      </w:r>
      <w:r w:rsidR="007A10D8" w:rsidRPr="00ED02E6">
        <w:rPr>
          <w:rFonts w:ascii="Times New Roman" w:hAnsi="Times New Roman" w:cs="Times New Roman"/>
          <w:i/>
          <w:iCs/>
          <w:sz w:val="20"/>
          <w:szCs w:val="20"/>
          <w:lang w:bidi="ar-SA"/>
        </w:rPr>
        <w:t xml:space="preserve">Associate Professor, Water Science and Engineering Department, Bu-Ali </w:t>
      </w:r>
      <w:proofErr w:type="spellStart"/>
      <w:r w:rsidR="007A10D8" w:rsidRPr="00ED02E6">
        <w:rPr>
          <w:rFonts w:ascii="Times New Roman" w:hAnsi="Times New Roman" w:cs="Times New Roman"/>
          <w:i/>
          <w:iCs/>
          <w:sz w:val="20"/>
          <w:szCs w:val="20"/>
          <w:lang w:bidi="ar-SA"/>
        </w:rPr>
        <w:t>Sina</w:t>
      </w:r>
      <w:proofErr w:type="spellEnd"/>
      <w:r w:rsidR="007A10D8" w:rsidRPr="00ED02E6">
        <w:rPr>
          <w:rFonts w:ascii="Times New Roman" w:hAnsi="Times New Roman" w:cs="Times New Roman"/>
          <w:i/>
          <w:iCs/>
          <w:sz w:val="20"/>
          <w:szCs w:val="20"/>
          <w:lang w:bidi="ar-SA"/>
        </w:rPr>
        <w:t xml:space="preserve"> University, </w:t>
      </w:r>
      <w:proofErr w:type="spellStart"/>
      <w:r w:rsidR="007A10D8" w:rsidRPr="00ED02E6">
        <w:rPr>
          <w:rFonts w:ascii="Times New Roman" w:hAnsi="Times New Roman" w:cs="Times New Roman"/>
          <w:i/>
          <w:iCs/>
          <w:sz w:val="20"/>
          <w:szCs w:val="20"/>
          <w:lang w:bidi="ar-SA"/>
        </w:rPr>
        <w:t>Hamedan</w:t>
      </w:r>
      <w:proofErr w:type="spellEnd"/>
      <w:r w:rsidR="007A10D8" w:rsidRPr="00ED02E6">
        <w:rPr>
          <w:rFonts w:ascii="Times New Roman" w:hAnsi="Times New Roman" w:cs="Times New Roman"/>
          <w:i/>
          <w:iCs/>
          <w:sz w:val="20"/>
          <w:szCs w:val="20"/>
          <w:lang w:bidi="ar-SA"/>
        </w:rPr>
        <w:t>, Iran</w:t>
      </w:r>
    </w:p>
    <w:p w:rsidR="007A10D8" w:rsidRPr="00ED02E6" w:rsidRDefault="00E63059" w:rsidP="00F2048D">
      <w:pPr>
        <w:spacing w:line="240" w:lineRule="atLeast"/>
        <w:jc w:val="center"/>
        <w:rPr>
          <w:rFonts w:ascii="Times New Roman" w:hAnsi="Times New Roman" w:cs="Times New Roman"/>
          <w:i/>
          <w:iCs/>
          <w:sz w:val="20"/>
          <w:szCs w:val="20"/>
          <w:lang w:bidi="ar-SA"/>
        </w:rPr>
      </w:pPr>
      <w:r w:rsidRPr="00ED02E6">
        <w:rPr>
          <w:rFonts w:ascii="Times New Roman" w:hAnsi="Times New Roman" w:cs="Times New Roman"/>
          <w:i/>
          <w:iCs/>
          <w:sz w:val="20"/>
          <w:szCs w:val="20"/>
          <w:vertAlign w:val="superscript"/>
          <w:lang w:bidi="ar-SA"/>
        </w:rPr>
        <w:t>2</w:t>
      </w:r>
      <w:r w:rsidR="007A10D8" w:rsidRPr="00ED02E6">
        <w:rPr>
          <w:rFonts w:ascii="Times New Roman" w:hAnsi="Times New Roman" w:cs="Times New Roman"/>
          <w:i/>
          <w:iCs/>
          <w:sz w:val="20"/>
          <w:szCs w:val="20"/>
          <w:lang w:bidi="ar-SA"/>
        </w:rPr>
        <w:t xml:space="preserve">MSc of water resources </w:t>
      </w:r>
      <w:r w:rsidR="00F2048D" w:rsidRPr="00ED02E6">
        <w:rPr>
          <w:rFonts w:ascii="Times New Roman" w:hAnsi="Times New Roman" w:cs="Times New Roman"/>
          <w:i/>
          <w:iCs/>
          <w:sz w:val="20"/>
          <w:szCs w:val="20"/>
          <w:lang w:bidi="ar-SA"/>
        </w:rPr>
        <w:t>E</w:t>
      </w:r>
      <w:r w:rsidR="007A10D8" w:rsidRPr="00ED02E6">
        <w:rPr>
          <w:rFonts w:ascii="Times New Roman" w:hAnsi="Times New Roman" w:cs="Times New Roman"/>
          <w:i/>
          <w:iCs/>
          <w:sz w:val="20"/>
          <w:szCs w:val="20"/>
          <w:lang w:bidi="ar-SA"/>
        </w:rPr>
        <w:t xml:space="preserve">ngineering, Bu-Ali </w:t>
      </w:r>
      <w:proofErr w:type="spellStart"/>
      <w:r w:rsidR="007A10D8" w:rsidRPr="00ED02E6">
        <w:rPr>
          <w:rFonts w:ascii="Times New Roman" w:hAnsi="Times New Roman" w:cs="Times New Roman"/>
          <w:i/>
          <w:iCs/>
          <w:sz w:val="20"/>
          <w:szCs w:val="20"/>
          <w:lang w:bidi="ar-SA"/>
        </w:rPr>
        <w:t>Sina</w:t>
      </w:r>
      <w:proofErr w:type="spellEnd"/>
      <w:r w:rsidR="007A10D8" w:rsidRPr="00ED02E6">
        <w:rPr>
          <w:rFonts w:ascii="Times New Roman" w:hAnsi="Times New Roman" w:cs="Times New Roman"/>
          <w:i/>
          <w:iCs/>
          <w:sz w:val="20"/>
          <w:szCs w:val="20"/>
          <w:lang w:bidi="ar-SA"/>
        </w:rPr>
        <w:t xml:space="preserve"> University, </w:t>
      </w:r>
      <w:proofErr w:type="spellStart"/>
      <w:r w:rsidR="007A10D8" w:rsidRPr="00ED02E6">
        <w:rPr>
          <w:rFonts w:ascii="Times New Roman" w:hAnsi="Times New Roman" w:cs="Times New Roman"/>
          <w:i/>
          <w:iCs/>
          <w:sz w:val="20"/>
          <w:szCs w:val="20"/>
          <w:lang w:bidi="ar-SA"/>
        </w:rPr>
        <w:t>Hamedan</w:t>
      </w:r>
      <w:proofErr w:type="spellEnd"/>
      <w:r w:rsidR="007A10D8" w:rsidRPr="00ED02E6">
        <w:rPr>
          <w:rFonts w:ascii="Times New Roman" w:hAnsi="Times New Roman" w:cs="Times New Roman"/>
          <w:i/>
          <w:iCs/>
          <w:sz w:val="20"/>
          <w:szCs w:val="20"/>
          <w:lang w:bidi="ar-SA"/>
        </w:rPr>
        <w:t>, Iran</w:t>
      </w:r>
    </w:p>
    <w:p w:rsidR="00117F2C" w:rsidRPr="00ED02E6" w:rsidRDefault="00ED02E6" w:rsidP="0051695C">
      <w:pPr>
        <w:rPr>
          <w:sz w:val="24"/>
          <w:szCs w:val="24"/>
        </w:rPr>
      </w:pPr>
      <w:r w:rsidRPr="00ED02E6">
        <w:rPr>
          <w:sz w:val="24"/>
          <w:szCs w:val="24"/>
        </w:rPr>
        <w:t>Abstract</w:t>
      </w:r>
    </w:p>
    <w:p w:rsidR="004C0A1A" w:rsidRPr="00ED02E6" w:rsidRDefault="00342E77" w:rsidP="003D4C29">
      <w:pPr>
        <w:rPr>
          <w:sz w:val="24"/>
          <w:szCs w:val="24"/>
        </w:rPr>
      </w:pPr>
      <w:r w:rsidRPr="00ED02E6">
        <w:rPr>
          <w:sz w:val="24"/>
          <w:szCs w:val="24"/>
        </w:rPr>
        <w:t xml:space="preserve">Changes in the future climate will alter the hydrological cycle and subsequently affect the quantity and quality of water resources. Understanding groundwater recharge is essential in managing groundwater resources. In this study, the effects of climate change on the future status of groundwater in </w:t>
      </w:r>
      <w:proofErr w:type="spellStart"/>
      <w:r w:rsidRPr="00ED02E6">
        <w:rPr>
          <w:sz w:val="24"/>
          <w:szCs w:val="24"/>
        </w:rPr>
        <w:t>Tuyserkan</w:t>
      </w:r>
      <w:proofErr w:type="spellEnd"/>
      <w:r w:rsidRPr="00ED02E6">
        <w:rPr>
          <w:sz w:val="24"/>
          <w:szCs w:val="24"/>
        </w:rPr>
        <w:t xml:space="preserve"> plain </w:t>
      </w:r>
      <w:proofErr w:type="gramStart"/>
      <w:r w:rsidRPr="00ED02E6">
        <w:rPr>
          <w:sz w:val="24"/>
          <w:szCs w:val="24"/>
        </w:rPr>
        <w:t>a sub basins</w:t>
      </w:r>
      <w:proofErr w:type="gramEnd"/>
      <w:r w:rsidRPr="00ED02E6">
        <w:rPr>
          <w:sz w:val="24"/>
          <w:szCs w:val="24"/>
        </w:rPr>
        <w:t xml:space="preserve"> of upper </w:t>
      </w:r>
      <w:proofErr w:type="spellStart"/>
      <w:r w:rsidRPr="00ED02E6">
        <w:rPr>
          <w:sz w:val="24"/>
          <w:szCs w:val="24"/>
        </w:rPr>
        <w:t>Karkhe</w:t>
      </w:r>
      <w:proofErr w:type="spellEnd"/>
      <w:r w:rsidRPr="00ED02E6">
        <w:rPr>
          <w:sz w:val="24"/>
          <w:szCs w:val="24"/>
        </w:rPr>
        <w:t xml:space="preserve"> River basin in Hamadan province, Iran are investigated. In recent years, </w:t>
      </w:r>
      <w:r w:rsidR="001943CB" w:rsidRPr="00ED02E6">
        <w:rPr>
          <w:sz w:val="24"/>
          <w:szCs w:val="24"/>
        </w:rPr>
        <w:t>Ground</w:t>
      </w:r>
      <w:r w:rsidRPr="00ED02E6">
        <w:rPr>
          <w:sz w:val="24"/>
          <w:szCs w:val="24"/>
        </w:rPr>
        <w:t xml:space="preserve">water levels in the </w:t>
      </w:r>
      <w:proofErr w:type="spellStart"/>
      <w:r w:rsidRPr="00ED02E6">
        <w:rPr>
          <w:sz w:val="24"/>
          <w:szCs w:val="24"/>
        </w:rPr>
        <w:t>Tuyserkan</w:t>
      </w:r>
      <w:proofErr w:type="spellEnd"/>
      <w:r w:rsidRPr="00ED02E6">
        <w:rPr>
          <w:sz w:val="24"/>
          <w:szCs w:val="24"/>
        </w:rPr>
        <w:t xml:space="preserve"> plain have declined. Predictions of </w:t>
      </w:r>
      <w:r w:rsidR="001943CB" w:rsidRPr="00ED02E6">
        <w:rPr>
          <w:sz w:val="24"/>
          <w:szCs w:val="24"/>
        </w:rPr>
        <w:t>recharge</w:t>
      </w:r>
      <w:r w:rsidRPr="00ED02E6">
        <w:rPr>
          <w:sz w:val="24"/>
          <w:szCs w:val="24"/>
        </w:rPr>
        <w:t xml:space="preserve"> in the </w:t>
      </w:r>
      <w:proofErr w:type="spellStart"/>
      <w:r w:rsidRPr="00ED02E6">
        <w:rPr>
          <w:sz w:val="24"/>
          <w:szCs w:val="24"/>
        </w:rPr>
        <w:t>Tuyserkan</w:t>
      </w:r>
      <w:proofErr w:type="spellEnd"/>
      <w:r w:rsidRPr="00ED02E6">
        <w:rPr>
          <w:sz w:val="24"/>
          <w:szCs w:val="24"/>
        </w:rPr>
        <w:t xml:space="preserve"> plain based on the</w:t>
      </w:r>
      <w:r w:rsidR="003D4C29" w:rsidRPr="00ED02E6">
        <w:rPr>
          <w:sz w:val="24"/>
          <w:szCs w:val="24"/>
        </w:rPr>
        <w:t xml:space="preserve"> Representative Concentration Pathways</w:t>
      </w:r>
      <w:r w:rsidRPr="00ED02E6">
        <w:rPr>
          <w:sz w:val="24"/>
          <w:szCs w:val="24"/>
        </w:rPr>
        <w:t xml:space="preserve"> </w:t>
      </w:r>
      <w:r w:rsidR="003D4C29" w:rsidRPr="00ED02E6">
        <w:rPr>
          <w:sz w:val="24"/>
          <w:szCs w:val="24"/>
        </w:rPr>
        <w:t>(</w:t>
      </w:r>
      <w:r w:rsidRPr="00ED02E6">
        <w:rPr>
          <w:sz w:val="24"/>
          <w:szCs w:val="24"/>
        </w:rPr>
        <w:t>RCP4.5</w:t>
      </w:r>
      <w:r w:rsidR="003D4C29" w:rsidRPr="00ED02E6">
        <w:rPr>
          <w:sz w:val="24"/>
          <w:szCs w:val="24"/>
        </w:rPr>
        <w:t>)</w:t>
      </w:r>
      <w:r w:rsidR="00453BC6" w:rsidRPr="00ED02E6">
        <w:rPr>
          <w:sz w:val="24"/>
          <w:szCs w:val="24"/>
        </w:rPr>
        <w:t xml:space="preserve"> </w:t>
      </w:r>
      <w:r w:rsidRPr="00ED02E6">
        <w:rPr>
          <w:sz w:val="24"/>
          <w:szCs w:val="24"/>
        </w:rPr>
        <w:t xml:space="preserve">scenario from the Fifth Intergovernmental Panel on Climate </w:t>
      </w:r>
      <w:proofErr w:type="gramStart"/>
      <w:r w:rsidRPr="00ED02E6">
        <w:rPr>
          <w:sz w:val="24"/>
          <w:szCs w:val="24"/>
        </w:rPr>
        <w:t>Change,</w:t>
      </w:r>
      <w:proofErr w:type="gramEnd"/>
      <w:r w:rsidRPr="00ED02E6">
        <w:rPr>
          <w:sz w:val="24"/>
          <w:szCs w:val="24"/>
        </w:rPr>
        <w:t xml:space="preserve"> have been produced. The</w:t>
      </w:r>
      <w:r w:rsidR="00453BC6" w:rsidRPr="00ED02E6">
        <w:rPr>
          <w:sz w:val="24"/>
          <w:szCs w:val="24"/>
        </w:rPr>
        <w:t xml:space="preserve"> Regional Climate Model</w:t>
      </w:r>
      <w:r w:rsidRPr="00ED02E6">
        <w:rPr>
          <w:sz w:val="24"/>
          <w:szCs w:val="24"/>
        </w:rPr>
        <w:t xml:space="preserve"> </w:t>
      </w:r>
      <w:r w:rsidR="003D4C29" w:rsidRPr="00ED02E6">
        <w:rPr>
          <w:sz w:val="24"/>
          <w:szCs w:val="24"/>
        </w:rPr>
        <w:t>(</w:t>
      </w:r>
      <w:proofErr w:type="spellStart"/>
      <w:r w:rsidRPr="00ED02E6">
        <w:rPr>
          <w:sz w:val="24"/>
          <w:szCs w:val="24"/>
        </w:rPr>
        <w:t>RegCM</w:t>
      </w:r>
      <w:proofErr w:type="spellEnd"/>
      <w:r w:rsidR="003D4C29" w:rsidRPr="00ED02E6">
        <w:rPr>
          <w:sz w:val="24"/>
          <w:szCs w:val="24"/>
        </w:rPr>
        <w:t>)</w:t>
      </w:r>
      <w:r w:rsidRPr="00ED02E6">
        <w:rPr>
          <w:sz w:val="24"/>
          <w:szCs w:val="24"/>
        </w:rPr>
        <w:t xml:space="preserve"> model was validated for 5 years (2000 to 2004) and predicted for the 10-year period 2015 to 2025. The </w:t>
      </w:r>
      <w:proofErr w:type="spellStart"/>
      <w:r w:rsidRPr="00ED02E6">
        <w:rPr>
          <w:sz w:val="24"/>
          <w:szCs w:val="24"/>
        </w:rPr>
        <w:t>Tuyserkan</w:t>
      </w:r>
      <w:proofErr w:type="spellEnd"/>
      <w:r w:rsidRPr="00ED02E6">
        <w:rPr>
          <w:sz w:val="24"/>
          <w:szCs w:val="24"/>
        </w:rPr>
        <w:t xml:space="preserve"> plain aquifer system was modeled using the MODFLOW code in the GMS software using a finite difference model; various hydrological, </w:t>
      </w:r>
      <w:proofErr w:type="spellStart"/>
      <w:r w:rsidRPr="00ED02E6">
        <w:rPr>
          <w:sz w:val="24"/>
          <w:szCs w:val="24"/>
        </w:rPr>
        <w:t>hydrogeological</w:t>
      </w:r>
      <w:proofErr w:type="spellEnd"/>
      <w:r w:rsidRPr="00ED02E6">
        <w:rPr>
          <w:sz w:val="24"/>
          <w:szCs w:val="24"/>
        </w:rPr>
        <w:t xml:space="preserve">, topographic and geological maps and well logs in the area were used. The groundwater model was calibrated for one year period with monthly stress periods (October 87 to September 88) and validated for another one year period (October 88 to September 89). Model sensitivity analysis results showed that specific discharge changes had more effect on the aquifer model compared to hydraulic conductivity and recharge. Finally, two scenarios were defined for the 10-year forecast period; the first scenario assumes the continuation of the current </w:t>
      </w:r>
      <w:r w:rsidR="00117F2C" w:rsidRPr="00ED02E6">
        <w:rPr>
          <w:sz w:val="24"/>
          <w:szCs w:val="24"/>
        </w:rPr>
        <w:t>withdrawal process</w:t>
      </w:r>
      <w:r w:rsidRPr="00ED02E6">
        <w:rPr>
          <w:sz w:val="24"/>
          <w:szCs w:val="24"/>
        </w:rPr>
        <w:t>, but the second scenario considers a 20% reduction in agricultural wells as a result of increased irrigation efficiency. The results indicate that the water level drop trend will continue in the aquifer and the increase in irrigation efficiency will not have a significant effect on the water level drop trend.</w:t>
      </w:r>
    </w:p>
    <w:p w:rsidR="00117F2C" w:rsidRPr="00ED02E6" w:rsidRDefault="00117F2C" w:rsidP="00117F2C">
      <w:pPr>
        <w:rPr>
          <w:sz w:val="24"/>
          <w:szCs w:val="24"/>
        </w:rPr>
      </w:pPr>
      <w:r w:rsidRPr="00ED02E6">
        <w:rPr>
          <w:sz w:val="24"/>
          <w:szCs w:val="24"/>
        </w:rPr>
        <w:t xml:space="preserve">Keywords: Climate Change, Groundwater Recharge, Aquifer Management, </w:t>
      </w:r>
      <w:proofErr w:type="spellStart"/>
      <w:r w:rsidRPr="00ED02E6">
        <w:rPr>
          <w:sz w:val="24"/>
          <w:szCs w:val="24"/>
        </w:rPr>
        <w:t>Tuyserkan</w:t>
      </w:r>
      <w:proofErr w:type="spellEnd"/>
      <w:r w:rsidRPr="00ED02E6">
        <w:rPr>
          <w:sz w:val="24"/>
          <w:szCs w:val="24"/>
        </w:rPr>
        <w:t xml:space="preserve"> Plain, </w:t>
      </w:r>
      <w:proofErr w:type="spellStart"/>
      <w:r w:rsidRPr="00ED02E6">
        <w:rPr>
          <w:sz w:val="24"/>
          <w:szCs w:val="24"/>
        </w:rPr>
        <w:t>RegCM</w:t>
      </w:r>
      <w:proofErr w:type="spellEnd"/>
      <w:r w:rsidRPr="00ED02E6">
        <w:rPr>
          <w:sz w:val="24"/>
          <w:szCs w:val="24"/>
        </w:rPr>
        <w:t xml:space="preserve"> (Regional Climate Model).</w:t>
      </w:r>
    </w:p>
    <w:sectPr w:rsidR="00117F2C" w:rsidRPr="00ED02E6" w:rsidSect="004C0A1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42E77"/>
    <w:rsid w:val="000357AE"/>
    <w:rsid w:val="00117F2C"/>
    <w:rsid w:val="001943CB"/>
    <w:rsid w:val="00252443"/>
    <w:rsid w:val="00342E77"/>
    <w:rsid w:val="003D4C29"/>
    <w:rsid w:val="00453BC6"/>
    <w:rsid w:val="004C0A1A"/>
    <w:rsid w:val="00506BC1"/>
    <w:rsid w:val="0051695C"/>
    <w:rsid w:val="007A10D8"/>
    <w:rsid w:val="00C406F1"/>
    <w:rsid w:val="00CF7482"/>
    <w:rsid w:val="00DC5F66"/>
    <w:rsid w:val="00E63059"/>
    <w:rsid w:val="00ED02E6"/>
    <w:rsid w:val="00EE4874"/>
    <w:rsid w:val="00F204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100" w:beforeAutospacing="1" w:after="100" w:afterAutospacing="1"/>
        <w:jc w:val="lowKashida"/>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7AE"/>
  </w:style>
  <w:style w:type="paragraph" w:styleId="Heading1">
    <w:name w:val="heading 1"/>
    <w:basedOn w:val="Normal"/>
    <w:next w:val="Normal"/>
    <w:link w:val="Heading1Char"/>
    <w:uiPriority w:val="9"/>
    <w:qFormat/>
    <w:rsid w:val="000357AE"/>
    <w:pPr>
      <w:spacing w:before="600" w:after="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semiHidden/>
    <w:unhideWhenUsed/>
    <w:qFormat/>
    <w:rsid w:val="000357AE"/>
    <w:pPr>
      <w:spacing w:before="320" w:after="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357AE"/>
    <w:pPr>
      <w:spacing w:before="320" w:after="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0357AE"/>
    <w:pPr>
      <w:spacing w:before="280" w:after="0" w:line="360" w:lineRule="auto"/>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0357AE"/>
    <w:pPr>
      <w:spacing w:before="280" w:after="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0357AE"/>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0357AE"/>
    <w:pPr>
      <w:spacing w:before="280" w:after="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0357AE"/>
    <w:pPr>
      <w:spacing w:before="280" w:after="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0357AE"/>
    <w:pPr>
      <w:spacing w:before="280" w:after="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7AE"/>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semiHidden/>
    <w:rsid w:val="000357AE"/>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0357AE"/>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0357AE"/>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0357AE"/>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0357A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rsid w:val="000357AE"/>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0357AE"/>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0357AE"/>
    <w:rPr>
      <w:rFonts w:asciiTheme="majorHAnsi" w:eastAsiaTheme="majorEastAsia" w:hAnsiTheme="majorHAnsi" w:cstheme="majorBidi"/>
      <w:i/>
      <w:iCs/>
      <w:sz w:val="18"/>
      <w:szCs w:val="18"/>
    </w:rPr>
  </w:style>
  <w:style w:type="paragraph" w:styleId="Caption">
    <w:name w:val="caption"/>
    <w:basedOn w:val="Normal"/>
    <w:next w:val="Normal"/>
    <w:uiPriority w:val="35"/>
    <w:unhideWhenUsed/>
    <w:qFormat/>
    <w:rsid w:val="000357AE"/>
    <w:rPr>
      <w:b/>
      <w:bCs/>
      <w:sz w:val="18"/>
      <w:szCs w:val="18"/>
    </w:rPr>
  </w:style>
  <w:style w:type="paragraph" w:styleId="Title">
    <w:name w:val="Title"/>
    <w:basedOn w:val="Normal"/>
    <w:next w:val="Normal"/>
    <w:link w:val="TitleChar"/>
    <w:uiPriority w:val="10"/>
    <w:qFormat/>
    <w:rsid w:val="000357AE"/>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0357AE"/>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0357AE"/>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0357AE"/>
    <w:rPr>
      <w:i/>
      <w:iCs/>
      <w:color w:val="808080" w:themeColor="text1" w:themeTint="7F"/>
      <w:spacing w:val="10"/>
      <w:sz w:val="24"/>
      <w:szCs w:val="24"/>
    </w:rPr>
  </w:style>
  <w:style w:type="character" w:styleId="Strong">
    <w:name w:val="Strong"/>
    <w:basedOn w:val="DefaultParagraphFont"/>
    <w:uiPriority w:val="22"/>
    <w:qFormat/>
    <w:rsid w:val="000357AE"/>
    <w:rPr>
      <w:b/>
      <w:bCs/>
      <w:spacing w:val="0"/>
    </w:rPr>
  </w:style>
  <w:style w:type="character" w:styleId="Emphasis">
    <w:name w:val="Emphasis"/>
    <w:uiPriority w:val="20"/>
    <w:qFormat/>
    <w:rsid w:val="000357AE"/>
    <w:rPr>
      <w:b/>
      <w:bCs/>
      <w:i/>
      <w:iCs/>
      <w:color w:val="auto"/>
    </w:rPr>
  </w:style>
  <w:style w:type="paragraph" w:styleId="NoSpacing">
    <w:name w:val="No Spacing"/>
    <w:basedOn w:val="Normal"/>
    <w:uiPriority w:val="1"/>
    <w:qFormat/>
    <w:rsid w:val="000357AE"/>
    <w:pPr>
      <w:spacing w:after="0"/>
    </w:pPr>
  </w:style>
  <w:style w:type="paragraph" w:styleId="ListParagraph">
    <w:name w:val="List Paragraph"/>
    <w:basedOn w:val="Normal"/>
    <w:uiPriority w:val="34"/>
    <w:qFormat/>
    <w:rsid w:val="000357AE"/>
    <w:pPr>
      <w:ind w:left="720"/>
      <w:contextualSpacing/>
    </w:pPr>
  </w:style>
  <w:style w:type="paragraph" w:styleId="Quote">
    <w:name w:val="Quote"/>
    <w:basedOn w:val="Normal"/>
    <w:next w:val="Normal"/>
    <w:link w:val="QuoteChar"/>
    <w:uiPriority w:val="29"/>
    <w:qFormat/>
    <w:rsid w:val="000357AE"/>
    <w:rPr>
      <w:color w:val="5A5A5A" w:themeColor="text1" w:themeTint="A5"/>
    </w:rPr>
  </w:style>
  <w:style w:type="character" w:customStyle="1" w:styleId="QuoteChar">
    <w:name w:val="Quote Char"/>
    <w:basedOn w:val="DefaultParagraphFont"/>
    <w:link w:val="Quote"/>
    <w:uiPriority w:val="29"/>
    <w:rsid w:val="000357AE"/>
    <w:rPr>
      <w:rFonts w:asciiTheme="minorHAnsi"/>
      <w:color w:val="5A5A5A" w:themeColor="text1" w:themeTint="A5"/>
    </w:rPr>
  </w:style>
  <w:style w:type="paragraph" w:styleId="IntenseQuote">
    <w:name w:val="Intense Quote"/>
    <w:basedOn w:val="Normal"/>
    <w:next w:val="Normal"/>
    <w:link w:val="IntenseQuoteChar"/>
    <w:uiPriority w:val="30"/>
    <w:qFormat/>
    <w:rsid w:val="000357AE"/>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357AE"/>
    <w:rPr>
      <w:rFonts w:asciiTheme="majorHAnsi" w:eastAsiaTheme="majorEastAsia" w:hAnsiTheme="majorHAnsi" w:cstheme="majorBidi"/>
      <w:i/>
      <w:iCs/>
      <w:sz w:val="20"/>
      <w:szCs w:val="20"/>
    </w:rPr>
  </w:style>
  <w:style w:type="character" w:styleId="SubtleEmphasis">
    <w:name w:val="Subtle Emphasis"/>
    <w:uiPriority w:val="19"/>
    <w:qFormat/>
    <w:rsid w:val="000357AE"/>
    <w:rPr>
      <w:i/>
      <w:iCs/>
      <w:color w:val="5A5A5A" w:themeColor="text1" w:themeTint="A5"/>
    </w:rPr>
  </w:style>
  <w:style w:type="character" w:styleId="IntenseEmphasis">
    <w:name w:val="Intense Emphasis"/>
    <w:uiPriority w:val="21"/>
    <w:qFormat/>
    <w:rsid w:val="000357AE"/>
    <w:rPr>
      <w:b/>
      <w:bCs/>
      <w:i/>
      <w:iCs/>
      <w:color w:val="auto"/>
      <w:u w:val="single"/>
    </w:rPr>
  </w:style>
  <w:style w:type="character" w:styleId="SubtleReference">
    <w:name w:val="Subtle Reference"/>
    <w:uiPriority w:val="31"/>
    <w:qFormat/>
    <w:rsid w:val="000357AE"/>
    <w:rPr>
      <w:smallCaps/>
    </w:rPr>
  </w:style>
  <w:style w:type="character" w:styleId="IntenseReference">
    <w:name w:val="Intense Reference"/>
    <w:uiPriority w:val="32"/>
    <w:qFormat/>
    <w:rsid w:val="000357AE"/>
    <w:rPr>
      <w:b/>
      <w:bCs/>
      <w:smallCaps/>
      <w:color w:val="auto"/>
    </w:rPr>
  </w:style>
  <w:style w:type="character" w:styleId="BookTitle">
    <w:name w:val="Book Title"/>
    <w:uiPriority w:val="33"/>
    <w:qFormat/>
    <w:rsid w:val="000357AE"/>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0357AE"/>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BC95AC-44BC-4938-8282-C8AD735A5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dcterms:created xsi:type="dcterms:W3CDTF">2019-11-02T14:00:00Z</dcterms:created>
  <dcterms:modified xsi:type="dcterms:W3CDTF">2019-11-02T14:49:00Z</dcterms:modified>
</cp:coreProperties>
</file>