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0"/>
          <w:szCs w:val="40"/>
          <w:lang w:val="en-IN"/>
        </w:rPr>
      </w:pPr>
      <w:r>
        <w:rPr>
          <w:b/>
          <w:bCs/>
          <w:sz w:val="40"/>
          <w:szCs w:val="40"/>
          <w:lang w:val="en-IN"/>
        </w:rPr>
        <w:t>ROBOTIC BARIATRIC SURGERY</w:t>
      </w:r>
    </w:p>
    <w:p>
      <w:pPr>
        <w:jc w:val="left"/>
        <w:rPr>
          <w:b w:val="0"/>
          <w:bCs w:val="0"/>
          <w:sz w:val="28"/>
          <w:szCs w:val="28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This study includes robotic bariatric surgery performed at a single tertiary care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centre from 2015 to 2017. 56 cases of robotic bariatric surgery is compared to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conventional laparoscopic surgery. Robotic surgery can be performed in all the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patients who are planned to undergo laparoscopic surgery.  Robotic bariatric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>arms have smooth movement during the surgery due to 270 degree rotation and no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 tremors. Robotic arms can lift and hold thick mesentry and bowels which are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>difficult for human hands due to excess omental and mesentric fat. Chances of injury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 to tissues are nil during robotic surgery. Robotic surgery causes less physical stress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to the surgeon and with experience it </w:t>
      </w:r>
      <w:bookmarkStart w:id="0" w:name="_GoBack"/>
      <w:bookmarkEnd w:id="0"/>
      <w:r>
        <w:rPr>
          <w:b w:val="0"/>
          <w:bCs w:val="0"/>
          <w:sz w:val="24"/>
          <w:szCs w:val="24"/>
          <w:lang w:val="en-IN"/>
        </w:rPr>
        <w:t xml:space="preserve">effectively reduces opeartive time also 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E523A"/>
    <w:rsid w:val="3F225E4F"/>
    <w:rsid w:val="5E6E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2018-06-12T05:27:00Z</dcterms:created>
  <dc:creator>shah1</dc:creator>
  <cp:lastModifiedBy>shah1</cp:lastModifiedBy>
  <dcterms:modified xsi:type="dcterms:W3CDTF">2018-06-14T05:24:39Z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