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E34626" w:rsidP="00FF16DC">
      <w:pPr>
        <w:pStyle w:val="1"/>
        <w:spacing w:before="170"/>
        <w:ind w:left="0"/>
        <w:jc w:val="both"/>
      </w:pPr>
      <w:r w:rsidRPr="008E6A51">
        <w:rPr>
          <w:color w:val="000000" w:themeColor="text1"/>
        </w:rPr>
        <w:t xml:space="preserve">High-performance liquid chromatography mass spectrometry of </w:t>
      </w:r>
      <w:r w:rsidR="0019356A">
        <w:rPr>
          <w:color w:val="000000" w:themeColor="text1"/>
        </w:rPr>
        <w:t xml:space="preserve">thiolate-protected </w:t>
      </w:r>
      <w:r>
        <w:rPr>
          <w:color w:val="000000" w:themeColor="text1"/>
        </w:rPr>
        <w:t>metal</w:t>
      </w:r>
      <w:r w:rsidRPr="008E6A51">
        <w:rPr>
          <w:color w:val="000000" w:themeColor="text1"/>
        </w:rPr>
        <w:t xml:space="preserve"> clusters </w:t>
      </w:r>
    </w:p>
    <w:p w:rsidR="00AE3E37" w:rsidRPr="00C558AB" w:rsidRDefault="0019356A" w:rsidP="00C558AB">
      <w:pPr>
        <w:pStyle w:val="a3"/>
        <w:spacing w:before="73" w:line="198" w:lineRule="exact"/>
        <w:ind w:left="100" w:right="5987"/>
        <w:rPr>
          <w:rFonts w:ascii="Arial"/>
        </w:rPr>
      </w:pPr>
      <w:r>
        <w:rPr>
          <w:rFonts w:ascii="Arial"/>
        </w:rPr>
        <w:t xml:space="preserve">Yuichi </w:t>
      </w:r>
      <w:proofErr w:type="spellStart"/>
      <w:r>
        <w:rPr>
          <w:rFonts w:ascii="Arial"/>
        </w:rPr>
        <w:t>Negishi</w:t>
      </w:r>
      <w:proofErr w:type="spellEnd"/>
      <w:r>
        <w:rPr>
          <w:rFonts w:ascii="Arial"/>
        </w:rPr>
        <w:t xml:space="preserve">, </w:t>
      </w:r>
      <w:r w:rsidR="005973B9">
        <w:rPr>
          <w:rFonts w:ascii="Arial"/>
        </w:rPr>
        <w:t xml:space="preserve">PhD, </w:t>
      </w:r>
      <w:r>
        <w:rPr>
          <w:rFonts w:ascii="Arial"/>
        </w:rPr>
        <w:t>Tokyo University of Science</w:t>
      </w:r>
      <w:r w:rsidR="005973B9">
        <w:rPr>
          <w:rFonts w:ascii="Arial"/>
        </w:rPr>
        <w:t xml:space="preserve">, </w:t>
      </w:r>
      <w:r>
        <w:rPr>
          <w:rFonts w:ascii="Arial"/>
        </w:rPr>
        <w:t>Japan</w:t>
      </w:r>
      <w:r w:rsidR="005973B9">
        <w:rPr>
          <w:rFonts w:ascii="Arial"/>
        </w:rPr>
        <w:t xml:space="preserve"> </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AE3E37" w:rsidRDefault="00E34626" w:rsidP="00E34626">
      <w:pPr>
        <w:pStyle w:val="a3"/>
        <w:spacing w:before="90" w:line="280" w:lineRule="auto"/>
        <w:ind w:left="100" w:firstLine="620"/>
        <w:jc w:val="both"/>
      </w:pPr>
      <w:r w:rsidRPr="00650F3B">
        <w:rPr>
          <w:lang w:eastAsia="ja-JP"/>
        </w:rPr>
        <w:t>Small thiolate-protected gold clusters have attracted considerable attention as new functional nanomaterials because they have size-specific properties and functions t</w:t>
      </w:r>
      <w:r w:rsidRPr="00650F3B">
        <w:t>hat are not found for bulk gold.</w:t>
      </w:r>
      <w:r w:rsidRPr="00650F3B">
        <w:rPr>
          <w:lang w:eastAsia="ja-JP"/>
        </w:rPr>
        <w:t xml:space="preserve"> In particular, hydrophilic thiolate-protected gold clusters (hereinafter referred to as hydrophilic gold clusters) exhibit high biocompatibility and luminescence quantum yield in addition to pollution-free properties. Therefore, hydrophilic gold clusters are expected to be used in biomedical and environmental applications. Replacing some of the Au atoms in these clusters with different elements may impart them with even more useful functions. </w:t>
      </w:r>
      <w:r w:rsidRPr="0097493D">
        <w:t xml:space="preserve">However, the synthesis of hydrophilic metal clusters has been less </w:t>
      </w:r>
      <w:r>
        <w:t>studied</w:t>
      </w:r>
      <w:r w:rsidRPr="002C5ADD">
        <w:t xml:space="preserve"> because of the complexity involved in evaluating the mass distributions of product mixtures.</w:t>
      </w:r>
    </w:p>
    <w:p w:rsidR="00E34626" w:rsidRDefault="00E34626" w:rsidP="00E34626">
      <w:pPr>
        <w:pStyle w:val="a3"/>
        <w:spacing w:before="90" w:line="280" w:lineRule="auto"/>
        <w:ind w:left="100" w:firstLine="620"/>
        <w:jc w:val="both"/>
      </w:pPr>
      <w:r w:rsidRPr="00650F3B">
        <w:t xml:space="preserve">In this work, we found two hydrophilic interaction liquid chromatography (HILIC) columns for high-performance liquid chromatography (HPLC) suitable for the high-resolution separation of hydrophilic metal clusters. The mass distributions of the product mixtures of hydrophilic metal clusters were evaluated via HPLC mass spectrometry (LC/MS) using these HILIC columns. Consequently, we observed multiple clusters that had not been previously reported for </w:t>
      </w:r>
      <w:proofErr w:type="spellStart"/>
      <w:r w:rsidRPr="00650F3B">
        <w:t>glutathionate</w:t>
      </w:r>
      <w:proofErr w:type="spellEnd"/>
      <w:r w:rsidRPr="00650F3B">
        <w:t xml:space="preserve"> (SG)-protected gold clusters (</w:t>
      </w:r>
      <w:proofErr w:type="spellStart"/>
      <w:r w:rsidRPr="00650F3B">
        <w:t>Au</w:t>
      </w:r>
      <w:r w:rsidRPr="00650F3B">
        <w:rPr>
          <w:i/>
          <w:vertAlign w:val="subscript"/>
        </w:rPr>
        <w:t>n</w:t>
      </w:r>
      <w:proofErr w:type="spellEnd"/>
      <w:r w:rsidRPr="00650F3B">
        <w:t>(SG)</w:t>
      </w:r>
      <w:r w:rsidRPr="00650F3B">
        <w:rPr>
          <w:i/>
          <w:vertAlign w:val="subscript"/>
        </w:rPr>
        <w:t>m</w:t>
      </w:r>
      <w:r w:rsidRPr="00650F3B">
        <w:t xml:space="preserve">). Additionally, we demonstrated that </w:t>
      </w:r>
      <w:proofErr w:type="spellStart"/>
      <w:r w:rsidRPr="00650F3B">
        <w:t>Au</w:t>
      </w:r>
      <w:r w:rsidRPr="00650F3B">
        <w:rPr>
          <w:i/>
          <w:vertAlign w:val="subscript"/>
        </w:rPr>
        <w:t>n</w:t>
      </w:r>
      <w:r w:rsidRPr="00650F3B">
        <w:rPr>
          <w:vertAlign w:val="subscript"/>
        </w:rPr>
        <w:t>−</w:t>
      </w:r>
      <w:r w:rsidRPr="00650F3B">
        <w:rPr>
          <w:i/>
          <w:vertAlign w:val="subscript"/>
        </w:rPr>
        <w:t>x</w:t>
      </w:r>
      <w:r w:rsidRPr="00650F3B">
        <w:t>M</w:t>
      </w:r>
      <w:r w:rsidRPr="00650F3B">
        <w:rPr>
          <w:i/>
          <w:vertAlign w:val="subscript"/>
        </w:rPr>
        <w:t>x</w:t>
      </w:r>
      <w:proofErr w:type="spellEnd"/>
      <w:r w:rsidRPr="00650F3B">
        <w:t>(SG)</w:t>
      </w:r>
      <w:r w:rsidRPr="00650F3B">
        <w:rPr>
          <w:i/>
          <w:vertAlign w:val="subscript"/>
        </w:rPr>
        <w:t>m</w:t>
      </w:r>
      <w:r w:rsidRPr="00650F3B">
        <w:t xml:space="preserve"> alloy clusters (M = Ag, Cu, or </w:t>
      </w:r>
      <w:proofErr w:type="spellStart"/>
      <w:r w:rsidRPr="00650F3B">
        <w:t>Pd</w:t>
      </w:r>
      <w:proofErr w:type="spellEnd"/>
      <w:r w:rsidRPr="00650F3B">
        <w:t xml:space="preserve">) in which part of the Au in the </w:t>
      </w:r>
      <w:proofErr w:type="spellStart"/>
      <w:r w:rsidRPr="00650F3B">
        <w:t>Au</w:t>
      </w:r>
      <w:r w:rsidRPr="00650F3B">
        <w:rPr>
          <w:i/>
          <w:vertAlign w:val="subscript"/>
        </w:rPr>
        <w:t>n</w:t>
      </w:r>
      <w:proofErr w:type="spellEnd"/>
      <w:r w:rsidRPr="00650F3B">
        <w:t>(SG)</w:t>
      </w:r>
      <w:r w:rsidRPr="00650F3B">
        <w:rPr>
          <w:i/>
          <w:vertAlign w:val="subscript"/>
        </w:rPr>
        <w:t>m</w:t>
      </w:r>
      <w:r w:rsidRPr="00650F3B">
        <w:t xml:space="preserve"> cluster is replaced by a </w:t>
      </w:r>
      <w:proofErr w:type="spellStart"/>
      <w:r w:rsidRPr="00650F3B">
        <w:t>heteroelement</w:t>
      </w:r>
      <w:proofErr w:type="spellEnd"/>
      <w:r w:rsidRPr="00650F3B">
        <w:t xml:space="preserve"> can be synthesized, similar to the case of hydrophobic alloy clusters. It is easy to evaluate the mass distributions of hydrophilic metal clusters using this method. Thus, remarkable progress in the synthesis techniques of hydrophilic metal clusters through the use of this method is anticipated, as is the situation for hydrophobic metal clusters</w:t>
      </w:r>
      <w:r w:rsidRPr="00140740">
        <w:t>.</w:t>
      </w:r>
    </w:p>
    <w:p w:rsidR="00AE3E37" w:rsidRDefault="00A9710C">
      <w:pPr>
        <w:pStyle w:val="3"/>
        <w:spacing w:before="74"/>
      </w:pPr>
      <w:r>
        <w:rPr>
          <w:b w:val="0"/>
        </w:rPr>
        <w:br w:type="column"/>
      </w:r>
      <w:r>
        <w:rPr>
          <w:color w:val="BF5A14"/>
        </w:rPr>
        <w:t>Image</w:t>
      </w:r>
    </w:p>
    <w:p w:rsidR="00AE3E37" w:rsidRDefault="0019356A" w:rsidP="0019356A">
      <w:pPr>
        <w:pStyle w:val="a3"/>
        <w:spacing w:before="2"/>
        <w:jc w:val="center"/>
        <w:rPr>
          <w:rFonts w:ascii="Arial"/>
          <w:b/>
          <w:sz w:val="16"/>
        </w:rPr>
      </w:pPr>
      <w:r w:rsidRPr="00947620">
        <w:rPr>
          <w:noProof/>
          <w:sz w:val="22"/>
          <w:szCs w:val="22"/>
        </w:rPr>
        <w:drawing>
          <wp:inline distT="0" distB="0" distL="0" distR="0" wp14:anchorId="2166E3B3" wp14:editId="0339FE68">
            <wp:extent cx="2880000" cy="1440000"/>
            <wp:effectExtent l="0" t="0" r="0" b="8255"/>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880000" cy="1440000"/>
                    </a:xfrm>
                    <a:prstGeom prst="rect">
                      <a:avLst/>
                    </a:prstGeom>
                  </pic:spPr>
                </pic:pic>
              </a:graphicData>
            </a:graphic>
          </wp:inline>
        </w:drawing>
      </w:r>
    </w:p>
    <w:p w:rsidR="0019356A" w:rsidRDefault="0019356A" w:rsidP="0019356A">
      <w:pPr>
        <w:pStyle w:val="a3"/>
        <w:spacing w:before="2"/>
        <w:jc w:val="center"/>
        <w:rPr>
          <w:rFonts w:ascii="Arial"/>
          <w:b/>
          <w:sz w:val="16"/>
        </w:rPr>
      </w:pPr>
    </w:p>
    <w:p w:rsidR="0019356A" w:rsidRDefault="0019356A" w:rsidP="0019356A">
      <w:pPr>
        <w:pStyle w:val="a3"/>
        <w:spacing w:before="2"/>
        <w:jc w:val="both"/>
        <w:rPr>
          <w:rFonts w:ascii="Arial"/>
          <w:b/>
          <w:sz w:val="16"/>
        </w:rPr>
      </w:pPr>
      <w:r>
        <w:rPr>
          <w:rFonts w:ascii="Arial" w:hint="eastAsia"/>
          <w:b/>
          <w:sz w:val="16"/>
        </w:rPr>
        <w:t>Figure 1</w:t>
      </w:r>
      <w:r>
        <w:rPr>
          <w:rFonts w:ascii="Arial"/>
          <w:b/>
          <w:sz w:val="16"/>
        </w:rPr>
        <w:t>. Schematic of this work.</w:t>
      </w:r>
      <w:r>
        <w:rPr>
          <w:rFonts w:ascii="Arial" w:hint="eastAsia"/>
          <w:b/>
          <w:sz w:val="16"/>
        </w:rPr>
        <w:t xml:space="preserve"> </w:t>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C558AB" w:rsidP="005973B9">
      <w:pPr>
        <w:pStyle w:val="a5"/>
        <w:numPr>
          <w:ilvl w:val="0"/>
          <w:numId w:val="3"/>
        </w:numPr>
        <w:tabs>
          <w:tab w:val="left" w:pos="384"/>
        </w:tabs>
        <w:spacing w:before="103" w:line="216" w:lineRule="exact"/>
        <w:ind w:right="138" w:hanging="283"/>
        <w:rPr>
          <w:sz w:val="18"/>
        </w:rPr>
      </w:pPr>
      <w:r w:rsidRPr="001D561F">
        <w:rPr>
          <w:sz w:val="18"/>
          <w:szCs w:val="18"/>
        </w:rPr>
        <w:t xml:space="preserve">Y. </w:t>
      </w:r>
      <w:proofErr w:type="spellStart"/>
      <w:r w:rsidRPr="001D561F">
        <w:rPr>
          <w:sz w:val="18"/>
          <w:szCs w:val="18"/>
        </w:rPr>
        <w:t>Negis</w:t>
      </w:r>
      <w:r w:rsidRPr="001D561F">
        <w:rPr>
          <w:color w:val="000000"/>
          <w:sz w:val="18"/>
          <w:szCs w:val="18"/>
        </w:rPr>
        <w:t>hi</w:t>
      </w:r>
      <w:proofErr w:type="spellEnd"/>
      <w:r w:rsidRPr="001D561F">
        <w:rPr>
          <w:color w:val="000000"/>
          <w:sz w:val="18"/>
          <w:szCs w:val="18"/>
        </w:rPr>
        <w:t>, et al</w:t>
      </w:r>
      <w:r w:rsidR="00FF16DC">
        <w:rPr>
          <w:color w:val="000000"/>
          <w:sz w:val="18"/>
          <w:szCs w:val="18"/>
        </w:rPr>
        <w:t>.</w:t>
      </w:r>
      <w:r w:rsidRPr="001D561F">
        <w:rPr>
          <w:color w:val="000000"/>
          <w:sz w:val="18"/>
          <w:szCs w:val="18"/>
        </w:rPr>
        <w:t>,</w:t>
      </w:r>
      <w:r w:rsidR="005973B9">
        <w:rPr>
          <w:sz w:val="18"/>
        </w:rPr>
        <w:t xml:space="preserve"> </w:t>
      </w:r>
      <w:r w:rsidRPr="003B0C5F">
        <w:rPr>
          <w:rFonts w:eastAsia="MS UI Gothic"/>
          <w:color w:val="000000" w:themeColor="text1"/>
          <w:sz w:val="18"/>
          <w:szCs w:val="18"/>
        </w:rPr>
        <w:t>"High-performance Liquid Chromatography Mass Spectrometry of Gold and Alloy Clusters Protected by Hydrophilic Thiolates"</w:t>
      </w:r>
      <w:r>
        <w:rPr>
          <w:rFonts w:eastAsia="ＭＳ Ｐゴシック"/>
          <w:color w:val="000000" w:themeColor="text1"/>
          <w:sz w:val="18"/>
          <w:szCs w:val="18"/>
        </w:rPr>
        <w:t xml:space="preserve"> </w:t>
      </w:r>
      <w:r w:rsidRPr="00447D0D">
        <w:rPr>
          <w:rFonts w:eastAsia="MS UI Gothic"/>
          <w:b/>
          <w:i/>
          <w:color w:val="000000" w:themeColor="text1"/>
          <w:sz w:val="18"/>
          <w:szCs w:val="18"/>
        </w:rPr>
        <w:t>Nanoscale</w:t>
      </w:r>
      <w:r w:rsidR="00043BE5">
        <w:rPr>
          <w:rFonts w:eastAsia="MS UI Gothic"/>
          <w:color w:val="000000" w:themeColor="text1"/>
          <w:sz w:val="18"/>
          <w:szCs w:val="18"/>
        </w:rPr>
        <w:t xml:space="preserve">, 10, 1641-1649, </w:t>
      </w:r>
      <w:r w:rsidRPr="00043BE5">
        <w:rPr>
          <w:rFonts w:eastAsia="MS UI Gothic"/>
          <w:b/>
          <w:color w:val="000000" w:themeColor="text1"/>
          <w:sz w:val="18"/>
          <w:szCs w:val="18"/>
        </w:rPr>
        <w:t>2018</w:t>
      </w:r>
      <w:r w:rsidR="005973B9" w:rsidRPr="005973B9">
        <w:rPr>
          <w:sz w:val="18"/>
        </w:rPr>
        <w:t>.</w:t>
      </w:r>
    </w:p>
    <w:p w:rsidR="005973B9" w:rsidRPr="001D561F" w:rsidRDefault="001D561F" w:rsidP="005973B9">
      <w:pPr>
        <w:pStyle w:val="a5"/>
        <w:numPr>
          <w:ilvl w:val="0"/>
          <w:numId w:val="3"/>
        </w:numPr>
        <w:tabs>
          <w:tab w:val="left" w:pos="384"/>
        </w:tabs>
        <w:spacing w:line="216" w:lineRule="exact"/>
        <w:ind w:right="137" w:hanging="283"/>
        <w:rPr>
          <w:sz w:val="18"/>
          <w:szCs w:val="18"/>
        </w:rPr>
      </w:pPr>
      <w:r w:rsidRPr="001D561F">
        <w:rPr>
          <w:sz w:val="18"/>
          <w:szCs w:val="18"/>
        </w:rPr>
        <w:t xml:space="preserve">Y. </w:t>
      </w:r>
      <w:proofErr w:type="spellStart"/>
      <w:r w:rsidRPr="001D561F">
        <w:rPr>
          <w:sz w:val="18"/>
          <w:szCs w:val="18"/>
        </w:rPr>
        <w:t>Negis</w:t>
      </w:r>
      <w:r w:rsidRPr="001D561F">
        <w:rPr>
          <w:color w:val="000000"/>
          <w:sz w:val="18"/>
          <w:szCs w:val="18"/>
        </w:rPr>
        <w:t>hi</w:t>
      </w:r>
      <w:proofErr w:type="spellEnd"/>
      <w:r w:rsidRPr="001D561F">
        <w:rPr>
          <w:color w:val="000000"/>
          <w:sz w:val="18"/>
          <w:szCs w:val="18"/>
        </w:rPr>
        <w:t xml:space="preserve">, et al, </w:t>
      </w:r>
      <w:r w:rsidRPr="001D561F">
        <w:rPr>
          <w:rFonts w:eastAsia="ヒラギノ角ゴ Pro W3"/>
          <w:sz w:val="18"/>
          <w:szCs w:val="18"/>
        </w:rPr>
        <w:t>"</w:t>
      </w:r>
      <w:r w:rsidRPr="001D561F">
        <w:rPr>
          <w:rFonts w:eastAsia="Hiragino Kaku Gothic Pro W3"/>
          <w:sz w:val="18"/>
          <w:szCs w:val="18"/>
        </w:rPr>
        <w:t>Precise Synthesis, Functionalization and Application of Thiolate-Protected Gold Clusters</w:t>
      </w:r>
      <w:r w:rsidRPr="001D561F">
        <w:rPr>
          <w:rFonts w:eastAsia="ヒラギノ角ゴ Pro W3"/>
          <w:sz w:val="18"/>
          <w:szCs w:val="18"/>
        </w:rPr>
        <w:t>"</w:t>
      </w:r>
      <w:r w:rsidRPr="001D561F">
        <w:rPr>
          <w:sz w:val="18"/>
          <w:szCs w:val="18"/>
        </w:rPr>
        <w:t xml:space="preserve"> </w:t>
      </w:r>
      <w:proofErr w:type="spellStart"/>
      <w:r w:rsidRPr="00447D0D">
        <w:rPr>
          <w:rFonts w:eastAsia="ヒラギノ角ゴ Pro W3"/>
          <w:b/>
          <w:i/>
          <w:color w:val="000000"/>
          <w:sz w:val="18"/>
          <w:szCs w:val="18"/>
          <w:u w:color="FB0000"/>
        </w:rPr>
        <w:t>Coord</w:t>
      </w:r>
      <w:proofErr w:type="spellEnd"/>
      <w:r w:rsidRPr="00447D0D">
        <w:rPr>
          <w:rFonts w:eastAsia="ヒラギノ角ゴ Pro W3"/>
          <w:b/>
          <w:i/>
          <w:color w:val="000000"/>
          <w:sz w:val="18"/>
          <w:szCs w:val="18"/>
          <w:u w:color="FB0000"/>
        </w:rPr>
        <w:t>. Chem. Rev.</w:t>
      </w:r>
      <w:r w:rsidR="0018088E" w:rsidRPr="0018088E">
        <w:rPr>
          <w:rFonts w:eastAsia="ヒラギノ角ゴ Pro W3"/>
          <w:color w:val="000000"/>
          <w:sz w:val="18"/>
          <w:szCs w:val="18"/>
          <w:u w:color="FB0000"/>
        </w:rPr>
        <w:t>,</w:t>
      </w:r>
      <w:r w:rsidRPr="001D561F">
        <w:rPr>
          <w:rFonts w:eastAsia="ヒラギノ角ゴ Pro W3"/>
          <w:color w:val="000000"/>
          <w:sz w:val="18"/>
          <w:szCs w:val="18"/>
          <w:u w:color="FB0000"/>
        </w:rPr>
        <w:t xml:space="preserve"> 320-321, 238-250, </w:t>
      </w:r>
      <w:r w:rsidRPr="00043BE5">
        <w:rPr>
          <w:rFonts w:eastAsia="ヒラギノ角ゴ Pro W3"/>
          <w:b/>
          <w:color w:val="000000"/>
          <w:sz w:val="18"/>
          <w:szCs w:val="18"/>
          <w:u w:color="FB0000"/>
        </w:rPr>
        <w:t>2016</w:t>
      </w:r>
      <w:r w:rsidRPr="001D561F">
        <w:rPr>
          <w:rFonts w:eastAsia="ヒラギノ角ゴ Pro W3"/>
          <w:color w:val="000000"/>
          <w:sz w:val="18"/>
          <w:szCs w:val="18"/>
          <w:u w:color="FB0000"/>
        </w:rPr>
        <w:t>.</w:t>
      </w:r>
    </w:p>
    <w:p w:rsidR="00FF16DC" w:rsidRPr="00FF16DC" w:rsidRDefault="00C558AB" w:rsidP="00FF16DC">
      <w:pPr>
        <w:pStyle w:val="a5"/>
        <w:numPr>
          <w:ilvl w:val="0"/>
          <w:numId w:val="3"/>
        </w:numPr>
        <w:tabs>
          <w:tab w:val="left" w:pos="384"/>
        </w:tabs>
        <w:spacing w:line="216" w:lineRule="exact"/>
        <w:ind w:right="138" w:hanging="283"/>
        <w:rPr>
          <w:sz w:val="18"/>
        </w:rPr>
      </w:pPr>
      <w:r w:rsidRPr="00A50C89">
        <w:rPr>
          <w:color w:val="000000"/>
          <w:sz w:val="18"/>
          <w:szCs w:val="18"/>
        </w:rPr>
        <w:t xml:space="preserve">Y. </w:t>
      </w:r>
      <w:proofErr w:type="spellStart"/>
      <w:r w:rsidRPr="00A50C89">
        <w:rPr>
          <w:color w:val="000000"/>
          <w:sz w:val="18"/>
          <w:szCs w:val="18"/>
        </w:rPr>
        <w:t>Negishi</w:t>
      </w:r>
      <w:proofErr w:type="spellEnd"/>
      <w:r>
        <w:rPr>
          <w:color w:val="000000"/>
          <w:sz w:val="18"/>
          <w:szCs w:val="18"/>
        </w:rPr>
        <w:t>, et al.,</w:t>
      </w:r>
      <w:r w:rsidRPr="00A50C89">
        <w:rPr>
          <w:rFonts w:eastAsia="ヒラギノ角ゴ Pro W3"/>
          <w:color w:val="000000"/>
          <w:sz w:val="18"/>
          <w:szCs w:val="18"/>
        </w:rPr>
        <w:t xml:space="preserve"> "</w:t>
      </w:r>
      <w:r w:rsidRPr="00A50C89">
        <w:rPr>
          <w:color w:val="000000"/>
          <w:sz w:val="18"/>
          <w:szCs w:val="18"/>
        </w:rPr>
        <w:t>High-Resolution Separation of Thiolate-Protected Gold Clusters by Reversed-Phase High-Performance Liquid Chromatography</w:t>
      </w:r>
      <w:r w:rsidRPr="00A50C89">
        <w:rPr>
          <w:rFonts w:eastAsia="ヒラギノ角ゴ Pro W3"/>
          <w:color w:val="000000"/>
          <w:sz w:val="18"/>
          <w:szCs w:val="18"/>
        </w:rPr>
        <w:t>"</w:t>
      </w:r>
      <w:r>
        <w:rPr>
          <w:rFonts w:hint="eastAsia"/>
          <w:color w:val="000000"/>
          <w:sz w:val="18"/>
          <w:szCs w:val="18"/>
        </w:rPr>
        <w:t xml:space="preserve"> </w:t>
      </w:r>
      <w:r w:rsidRPr="0018088E">
        <w:rPr>
          <w:b/>
          <w:i/>
          <w:color w:val="000000"/>
          <w:sz w:val="18"/>
          <w:szCs w:val="18"/>
          <w:u w:color="FB0000"/>
        </w:rPr>
        <w:t>Phys. Chem. Chem. Phys. (Perspective)</w:t>
      </w:r>
      <w:r w:rsidRPr="00A50C89">
        <w:rPr>
          <w:color w:val="000000"/>
          <w:sz w:val="18"/>
          <w:szCs w:val="18"/>
          <w:u w:color="FB0000"/>
        </w:rPr>
        <w:t xml:space="preserve">, 18, 4251-4265, </w:t>
      </w:r>
      <w:r w:rsidRPr="00043BE5">
        <w:rPr>
          <w:b/>
          <w:color w:val="000000"/>
          <w:sz w:val="18"/>
          <w:szCs w:val="18"/>
          <w:u w:color="FB0000"/>
        </w:rPr>
        <w:t>2016</w:t>
      </w:r>
      <w:r w:rsidRPr="00A50C89">
        <w:rPr>
          <w:color w:val="000000"/>
          <w:sz w:val="18"/>
          <w:szCs w:val="18"/>
          <w:u w:color="FB0000"/>
        </w:rPr>
        <w:t>.</w:t>
      </w:r>
    </w:p>
    <w:p w:rsidR="005973B9" w:rsidRPr="00FF16DC" w:rsidRDefault="00C558AB" w:rsidP="00FF16DC">
      <w:pPr>
        <w:pStyle w:val="a5"/>
        <w:numPr>
          <w:ilvl w:val="0"/>
          <w:numId w:val="3"/>
        </w:numPr>
        <w:tabs>
          <w:tab w:val="left" w:pos="384"/>
        </w:tabs>
        <w:spacing w:line="216" w:lineRule="exact"/>
        <w:ind w:right="138" w:hanging="283"/>
        <w:rPr>
          <w:sz w:val="18"/>
        </w:rPr>
      </w:pPr>
      <w:r w:rsidRPr="00FF16DC">
        <w:rPr>
          <w:color w:val="000000"/>
          <w:sz w:val="18"/>
          <w:szCs w:val="18"/>
        </w:rPr>
        <w:t xml:space="preserve">Y. </w:t>
      </w:r>
      <w:proofErr w:type="spellStart"/>
      <w:r w:rsidRPr="00FF16DC">
        <w:rPr>
          <w:color w:val="000000"/>
          <w:sz w:val="18"/>
          <w:szCs w:val="18"/>
        </w:rPr>
        <w:t>Negishi</w:t>
      </w:r>
      <w:proofErr w:type="spellEnd"/>
      <w:r w:rsidRPr="00FF16DC">
        <w:rPr>
          <w:color w:val="000000"/>
          <w:sz w:val="18"/>
          <w:szCs w:val="18"/>
        </w:rPr>
        <w:t>, et al.,</w:t>
      </w:r>
      <w:r w:rsidRPr="00FF16DC">
        <w:rPr>
          <w:rFonts w:eastAsia="ヒラギノ角ゴ Pro W3"/>
          <w:color w:val="000000"/>
          <w:sz w:val="18"/>
          <w:szCs w:val="18"/>
        </w:rPr>
        <w:t xml:space="preserve"> </w:t>
      </w:r>
      <w:r w:rsidRPr="00FF16DC">
        <w:rPr>
          <w:sz w:val="18"/>
          <w:szCs w:val="18"/>
        </w:rPr>
        <w:t>"Understanding Ligand-Exchange Reactions on Thiolate-Protected Gold Clusters by Probing Isomer Distributions Using Reversed-Phase High-Performance Liquid Chromatography"</w:t>
      </w:r>
      <w:r w:rsidRPr="00FF16DC">
        <w:rPr>
          <w:rFonts w:hint="eastAsia"/>
          <w:sz w:val="18"/>
          <w:szCs w:val="18"/>
        </w:rPr>
        <w:t xml:space="preserve"> </w:t>
      </w:r>
      <w:r w:rsidRPr="0018088E">
        <w:rPr>
          <w:b/>
          <w:i/>
          <w:color w:val="000000"/>
          <w:sz w:val="18"/>
          <w:szCs w:val="18"/>
          <w:u w:color="FB0000"/>
        </w:rPr>
        <w:t>ACS Nano</w:t>
      </w:r>
      <w:r w:rsidRPr="00FF16DC">
        <w:rPr>
          <w:i/>
          <w:color w:val="000000"/>
          <w:sz w:val="18"/>
          <w:szCs w:val="18"/>
          <w:u w:color="FB0000"/>
        </w:rPr>
        <w:t xml:space="preserve">, </w:t>
      </w:r>
      <w:r w:rsidRPr="00FF16DC">
        <w:rPr>
          <w:color w:val="000000"/>
          <w:sz w:val="18"/>
          <w:szCs w:val="18"/>
          <w:u w:color="FB0000"/>
        </w:rPr>
        <w:t xml:space="preserve">9, 9347-9356, </w:t>
      </w:r>
      <w:r w:rsidRPr="00043BE5">
        <w:rPr>
          <w:b/>
          <w:color w:val="000000"/>
          <w:sz w:val="18"/>
          <w:szCs w:val="18"/>
          <w:u w:color="FB0000"/>
        </w:rPr>
        <w:t>2015</w:t>
      </w:r>
      <w:r w:rsidRPr="00FF16DC">
        <w:rPr>
          <w:color w:val="000000"/>
          <w:sz w:val="18"/>
          <w:szCs w:val="18"/>
        </w:rPr>
        <w:t>.</w:t>
      </w:r>
    </w:p>
    <w:p w:rsidR="005973B9" w:rsidRDefault="005973B9" w:rsidP="005973B9">
      <w:pPr>
        <w:pStyle w:val="a3"/>
        <w:spacing w:before="85" w:line="216" w:lineRule="exact"/>
        <w:ind w:left="383" w:right="138" w:hanging="284"/>
        <w:jc w:val="both"/>
        <w:rPr>
          <w:rFonts w:ascii="Calibri" w:eastAsia="ＭＳ Ｐ明朝" w:hAnsi="Calibri" w:cs="Calibri"/>
          <w:u w:color="FB0000"/>
        </w:rPr>
      </w:pPr>
      <w:r>
        <w:rPr>
          <w:rFonts w:ascii="Calibri" w:hAnsi="Calibri"/>
        </w:rPr>
        <w:t xml:space="preserve">5. </w:t>
      </w:r>
      <w:r w:rsidR="00C558AB" w:rsidRPr="00A50C89">
        <w:rPr>
          <w:rFonts w:ascii="Calibri" w:hAnsi="Calibri" w:cs="Calibri"/>
          <w:color w:val="000000"/>
        </w:rPr>
        <w:t xml:space="preserve">Y. </w:t>
      </w:r>
      <w:proofErr w:type="spellStart"/>
      <w:r w:rsidR="00C558AB" w:rsidRPr="00A50C89">
        <w:rPr>
          <w:rFonts w:ascii="Calibri" w:hAnsi="Calibri" w:cs="Calibri"/>
          <w:color w:val="000000"/>
        </w:rPr>
        <w:t>Negishi</w:t>
      </w:r>
      <w:proofErr w:type="spellEnd"/>
      <w:r w:rsidR="00C558AB" w:rsidRPr="00A50C89">
        <w:rPr>
          <w:rFonts w:ascii="Calibri" w:hAnsi="Calibri" w:cs="Calibri"/>
        </w:rPr>
        <w:t xml:space="preserve">, </w:t>
      </w:r>
      <w:r w:rsidR="00C558AB" w:rsidRPr="00A50C89">
        <w:rPr>
          <w:rFonts w:ascii="Calibri" w:hAnsi="Calibri" w:cs="Calibri"/>
          <w:i/>
        </w:rPr>
        <w:t>et. al</w:t>
      </w:r>
      <w:r w:rsidR="00C558AB" w:rsidRPr="00A50C89">
        <w:rPr>
          <w:rFonts w:ascii="Calibri" w:hAnsi="Calibri" w:cs="Calibri"/>
        </w:rPr>
        <w:t>.</w:t>
      </w:r>
      <w:r w:rsidR="00C558AB">
        <w:rPr>
          <w:rFonts w:ascii="Calibri" w:hAnsi="Calibri" w:cs="Calibri"/>
        </w:rPr>
        <w:t xml:space="preserve">, </w:t>
      </w:r>
      <w:r w:rsidR="00C558AB" w:rsidRPr="00A50C89">
        <w:rPr>
          <w:rFonts w:ascii="Calibri" w:hAnsi="Calibri" w:cs="Calibri"/>
        </w:rPr>
        <w:t>"A Critical Size fo</w:t>
      </w:r>
      <w:bookmarkStart w:id="0" w:name="_GoBack"/>
      <w:bookmarkEnd w:id="0"/>
      <w:r w:rsidR="00C558AB" w:rsidRPr="00A50C89">
        <w:rPr>
          <w:rFonts w:ascii="Calibri" w:hAnsi="Calibri" w:cs="Calibri"/>
        </w:rPr>
        <w:t xml:space="preserve">r Emergence of </w:t>
      </w:r>
      <w:proofErr w:type="spellStart"/>
      <w:r w:rsidR="00C558AB" w:rsidRPr="00A50C89">
        <w:rPr>
          <w:rFonts w:ascii="Calibri" w:hAnsi="Calibri" w:cs="Calibri"/>
        </w:rPr>
        <w:t>Nonbulk</w:t>
      </w:r>
      <w:proofErr w:type="spellEnd"/>
      <w:r w:rsidR="00C558AB" w:rsidRPr="00A50C89">
        <w:rPr>
          <w:rFonts w:ascii="Calibri" w:hAnsi="Calibri" w:cs="Calibri"/>
        </w:rPr>
        <w:t xml:space="preserve"> Electronic and Geometric Structures in </w:t>
      </w:r>
      <w:proofErr w:type="spellStart"/>
      <w:r w:rsidR="00C558AB" w:rsidRPr="00A50C89">
        <w:rPr>
          <w:rFonts w:ascii="Calibri" w:hAnsi="Calibri" w:cs="Calibri"/>
        </w:rPr>
        <w:t>Dodecanethiolate</w:t>
      </w:r>
      <w:proofErr w:type="spellEnd"/>
      <w:r w:rsidR="00C558AB" w:rsidRPr="00A50C89">
        <w:rPr>
          <w:rFonts w:ascii="Calibri" w:hAnsi="Calibri" w:cs="Calibri"/>
        </w:rPr>
        <w:t>-Protected Au Clusters"</w:t>
      </w:r>
      <w:r w:rsidR="00C558AB">
        <w:rPr>
          <w:rFonts w:ascii="Calibri" w:hAnsi="Calibri" w:cs="Calibri" w:hint="eastAsia"/>
        </w:rPr>
        <w:t xml:space="preserve"> </w:t>
      </w:r>
      <w:r w:rsidR="00C558AB" w:rsidRPr="0018088E">
        <w:rPr>
          <w:rFonts w:ascii="Calibri" w:hAnsi="Calibri" w:cs="Calibri"/>
          <w:b/>
          <w:i/>
        </w:rPr>
        <w:t>J. Am. Chem. Soc.</w:t>
      </w:r>
      <w:r w:rsidR="00C558AB" w:rsidRPr="00A50C89">
        <w:rPr>
          <w:rFonts w:ascii="Calibri" w:eastAsia="ＭＳ Ｐ明朝" w:hAnsi="Calibri" w:cs="Calibri"/>
          <w:u w:color="FB0000"/>
        </w:rPr>
        <w:t>,</w:t>
      </w:r>
      <w:r w:rsidR="00C558AB" w:rsidRPr="00A50C89">
        <w:rPr>
          <w:rFonts w:ascii="Calibri" w:hAnsi="Calibri" w:cs="Calibri"/>
        </w:rPr>
        <w:t xml:space="preserve"> 137, 1206-1212</w:t>
      </w:r>
      <w:r w:rsidR="00C558AB" w:rsidRPr="00A50C89">
        <w:rPr>
          <w:rFonts w:ascii="Calibri" w:eastAsia="ＭＳ Ｐ明朝" w:hAnsi="Calibri" w:cs="Calibri"/>
          <w:u w:color="FB0000"/>
        </w:rPr>
        <w:t xml:space="preserve">, </w:t>
      </w:r>
      <w:r w:rsidR="00C558AB" w:rsidRPr="00043BE5">
        <w:rPr>
          <w:rFonts w:ascii="Calibri" w:eastAsia="ＭＳ Ｐ明朝" w:hAnsi="Calibri" w:cs="Calibri"/>
          <w:b/>
          <w:u w:color="FB0000"/>
        </w:rPr>
        <w:t>2015</w:t>
      </w:r>
      <w:r w:rsidR="00C558AB" w:rsidRPr="00A50C89">
        <w:rPr>
          <w:rFonts w:ascii="Calibri" w:eastAsia="ＭＳ Ｐ明朝" w:hAnsi="Calibri" w:cs="Calibri"/>
          <w:u w:color="FB0000"/>
        </w:rPr>
        <w:t>.</w:t>
      </w:r>
    </w:p>
    <w:p w:rsidR="00C558AB" w:rsidRDefault="00C558AB" w:rsidP="00C558AB">
      <w:pPr>
        <w:pStyle w:val="a3"/>
        <w:spacing w:before="85" w:line="216" w:lineRule="exact"/>
        <w:ind w:left="383" w:right="138" w:hanging="284"/>
        <w:jc w:val="both"/>
        <w:rPr>
          <w:rFonts w:ascii="Calibri" w:hAnsi="Calibri" w:cs="Calibri"/>
          <w:u w:color="FB0000"/>
        </w:rPr>
      </w:pPr>
      <w:r>
        <w:rPr>
          <w:rFonts w:ascii="Calibri" w:hAnsi="Calibri"/>
        </w:rPr>
        <w:t xml:space="preserve">6. </w:t>
      </w:r>
      <w:r w:rsidRPr="00A50C89">
        <w:rPr>
          <w:rFonts w:ascii="Calibri" w:hAnsi="Calibri" w:cs="Calibri"/>
          <w:color w:val="000000"/>
        </w:rPr>
        <w:t xml:space="preserve">Y. </w:t>
      </w:r>
      <w:proofErr w:type="spellStart"/>
      <w:r w:rsidRPr="00A50C89">
        <w:rPr>
          <w:rFonts w:ascii="Calibri" w:hAnsi="Calibri" w:cs="Calibri"/>
          <w:color w:val="000000"/>
        </w:rPr>
        <w:t>Negishi</w:t>
      </w:r>
      <w:proofErr w:type="spellEnd"/>
      <w:r w:rsidRPr="00A50C89">
        <w:rPr>
          <w:rFonts w:ascii="Calibri" w:hAnsi="Calibri" w:cs="Calibri"/>
        </w:rPr>
        <w:t xml:space="preserve">, </w:t>
      </w:r>
      <w:r w:rsidRPr="00A50C89">
        <w:rPr>
          <w:rFonts w:ascii="Calibri" w:hAnsi="Calibri" w:cs="Calibri"/>
          <w:i/>
        </w:rPr>
        <w:t>et. al</w:t>
      </w:r>
      <w:r w:rsidRPr="00A50C89">
        <w:rPr>
          <w:rFonts w:ascii="Calibri" w:hAnsi="Calibri" w:cs="Calibri"/>
        </w:rPr>
        <w:t>.</w:t>
      </w:r>
      <w:r>
        <w:rPr>
          <w:rFonts w:ascii="Calibri" w:hAnsi="Calibri" w:cs="Calibri"/>
        </w:rPr>
        <w:t xml:space="preserve">, </w:t>
      </w:r>
      <w:r w:rsidRPr="00A50C89">
        <w:rPr>
          <w:rFonts w:ascii="Calibri" w:hAnsi="Calibri" w:cs="Calibri"/>
        </w:rPr>
        <w:t>"Separation of Precise Compositions of Noble Metal Clusters Protected with Mixed Ligands"</w:t>
      </w:r>
      <w:r w:rsidRPr="00A50C89">
        <w:rPr>
          <w:rFonts w:ascii="ＭＳ ゴシック" w:eastAsia="ＭＳ ゴシック" w:hAnsi="ＭＳ ゴシック" w:cs="ＭＳ ゴシック" w:hint="eastAsia"/>
        </w:rPr>
        <w:t> </w:t>
      </w:r>
      <w:r w:rsidRPr="0018088E">
        <w:rPr>
          <w:rFonts w:ascii="Calibri" w:hAnsi="Calibri" w:cs="Calibri"/>
          <w:b/>
          <w:i/>
          <w:u w:color="FB0000"/>
        </w:rPr>
        <w:t>J. Am. Chem. Soc.</w:t>
      </w:r>
      <w:r w:rsidRPr="00A50C89">
        <w:rPr>
          <w:rFonts w:ascii="Calibri" w:hAnsi="Calibri" w:cs="Calibri"/>
          <w:u w:color="FB0000"/>
        </w:rPr>
        <w:t xml:space="preserve">, 135, 4946-4949, </w:t>
      </w:r>
      <w:r w:rsidRPr="00043BE5">
        <w:rPr>
          <w:rFonts w:ascii="Calibri" w:hAnsi="Calibri" w:cs="Calibri"/>
          <w:b/>
          <w:u w:color="FB0000"/>
        </w:rPr>
        <w:t>2013</w:t>
      </w:r>
      <w:r w:rsidRPr="00A50C89">
        <w:rPr>
          <w:rFonts w:ascii="Calibri" w:hAnsi="Calibri" w:cs="Calibri"/>
          <w:u w:color="FB0000"/>
        </w:rPr>
        <w:t>.</w:t>
      </w:r>
    </w:p>
    <w:p w:rsidR="00AE3E37" w:rsidRDefault="008756E6" w:rsidP="00C558AB">
      <w:pPr>
        <w:pStyle w:val="a3"/>
        <w:spacing w:before="85" w:line="20" w:lineRule="exact"/>
        <w:ind w:left="380" w:right="136" w:hanging="284"/>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2DECD59"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FC029C" w:rsidRPr="00FC029C">
        <w:rPr>
          <w:noProof/>
        </w:rPr>
        <w:drawing>
          <wp:inline distT="0" distB="0" distL="0" distR="0" wp14:anchorId="34D24DC4" wp14:editId="6A9C5B25">
            <wp:extent cx="682412" cy="789039"/>
            <wp:effectExtent l="0" t="0" r="381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95268" cy="803904"/>
                    </a:xfrm>
                    <a:prstGeom prst="rect">
                      <a:avLst/>
                    </a:prstGeom>
                  </pic:spPr>
                </pic:pic>
              </a:graphicData>
            </a:graphic>
          </wp:inline>
        </w:drawing>
      </w:r>
      <w:r w:rsidR="0036518A">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Pr="00E34626" w:rsidRDefault="00E34626">
      <w:pPr>
        <w:spacing w:before="41" w:line="154" w:lineRule="exact"/>
        <w:ind w:left="213" w:right="231"/>
        <w:jc w:val="both"/>
        <w:rPr>
          <w:rFonts w:ascii="Arial"/>
          <w:sz w:val="14"/>
          <w:szCs w:val="14"/>
        </w:rPr>
      </w:pPr>
      <w:r w:rsidRPr="00E34626">
        <w:rPr>
          <w:sz w:val="14"/>
          <w:szCs w:val="14"/>
        </w:rPr>
        <w:t xml:space="preserve">Yuichi </w:t>
      </w:r>
      <w:proofErr w:type="spellStart"/>
      <w:r w:rsidRPr="00E34626">
        <w:rPr>
          <w:sz w:val="14"/>
          <w:szCs w:val="14"/>
        </w:rPr>
        <w:t>Negishi</w:t>
      </w:r>
      <w:proofErr w:type="spellEnd"/>
      <w:r w:rsidRPr="00E34626">
        <w:rPr>
          <w:sz w:val="14"/>
          <w:szCs w:val="14"/>
        </w:rPr>
        <w:t xml:space="preserve"> received his Ph.D. degree in 2001 from Keio University, Japan. He is the professor of Tokyo University of Science, Japan. He has over 140 publications that have been cited over 7,200 times. In his publications, 10 papers are/were categorized to Top 1% Cited Papers.  His publication H-index is 45. He has been awarded several prizes, including the PCCP Prize (2007), CSJ Award for Young Chemists (2008), Japan Society of Molecular Science Award for Young Chemists (2012), and </w:t>
      </w:r>
      <w:proofErr w:type="spellStart"/>
      <w:r w:rsidRPr="00E34626">
        <w:rPr>
          <w:sz w:val="14"/>
          <w:szCs w:val="14"/>
        </w:rPr>
        <w:t>Yagami</w:t>
      </w:r>
      <w:proofErr w:type="spellEnd"/>
      <w:r w:rsidRPr="00E34626">
        <w:rPr>
          <w:sz w:val="14"/>
          <w:szCs w:val="14"/>
        </w:rPr>
        <w:t xml:space="preserve"> Prize (2017).</w:t>
      </w:r>
    </w:p>
    <w:p w:rsidR="00AE3E37" w:rsidRPr="00E34626" w:rsidRDefault="00C558AB">
      <w:pPr>
        <w:spacing w:before="62"/>
        <w:ind w:left="4217" w:right="4235"/>
        <w:jc w:val="center"/>
        <w:rPr>
          <w:rFonts w:ascii="Arial" w:hAnsi="Arial" w:cs="Arial"/>
          <w:sz w:val="14"/>
          <w:szCs w:val="14"/>
        </w:rPr>
      </w:pPr>
      <w:r>
        <w:rPr>
          <w:noProof/>
          <w:lang w:val="en-IN" w:eastAsia="en-IN"/>
        </w:rPr>
        <mc:AlternateContent>
          <mc:Choice Requires="wps">
            <w:drawing>
              <wp:anchor distT="0" distB="0" distL="0" distR="0" simplePos="0" relativeHeight="251656704" behindDoc="0" locked="0" layoutInCell="1" allowOverlap="1">
                <wp:simplePos x="0" y="0"/>
                <wp:positionH relativeFrom="page">
                  <wp:posOffset>2058670</wp:posOffset>
                </wp:positionH>
                <wp:positionV relativeFrom="paragraph">
                  <wp:posOffset>199267</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694D21" id="Line 3" o:spid="_x0000_s1026" style="position:absolute;left:0;text-align:lef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5.7pt" to="433.15pt,15.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BdyeD34AAAAA4BAAAPAAAAAAAAAAAAAAAAAG4EAABkcnMvZG93bnJldi54bWxQSwUGAAAA&#13;&#10;AAQABADzAAAAewUAAAAA&#13;&#10;" strokecolor="#004080" strokeweight=".5pt">
                <w10:wrap type="topAndBottom" anchorx="page"/>
              </v:line>
            </w:pict>
          </mc:Fallback>
        </mc:AlternateContent>
      </w:r>
      <w:r w:rsidR="00A9710C" w:rsidRPr="00E34626">
        <w:rPr>
          <w:rFonts w:ascii="Arial" w:hAnsi="Arial" w:cs="Arial"/>
          <w:sz w:val="14"/>
          <w:szCs w:val="14"/>
        </w:rPr>
        <w:t>Email:</w:t>
      </w:r>
      <w:r w:rsidR="00E34626" w:rsidRPr="00E34626">
        <w:rPr>
          <w:rFonts w:ascii="Arial" w:hAnsi="Arial" w:cs="Arial"/>
          <w:sz w:val="14"/>
          <w:szCs w:val="14"/>
        </w:rPr>
        <w:t xml:space="preserve"> </w:t>
      </w:r>
      <w:r w:rsidR="00E34626" w:rsidRPr="00E34626">
        <w:rPr>
          <w:rFonts w:ascii="Arial" w:hAnsi="Arial" w:cs="Arial"/>
          <w:sz w:val="14"/>
          <w:szCs w:val="14"/>
        </w:rPr>
        <w:t>negishi@rs.kagu.tus.ac.jp</w:t>
      </w:r>
    </w:p>
    <w:p w:rsidR="00AE3E37" w:rsidRDefault="00AE3E37">
      <w:pPr>
        <w:pStyle w:val="a3"/>
        <w:spacing w:before="2"/>
        <w:rPr>
          <w:rFonts w:ascii="Arial"/>
          <w:sz w:val="19"/>
        </w:rPr>
      </w:pPr>
    </w:p>
    <w:p w:rsidR="00AE3E37" w:rsidRDefault="00AE3E37">
      <w:pPr>
        <w:pStyle w:val="a3"/>
        <w:rPr>
          <w:rFonts w:ascii="Arial"/>
          <w:sz w:val="20"/>
        </w:rPr>
      </w:pPr>
    </w:p>
    <w:p w:rsidR="00AE3E37" w:rsidRPr="000908DB" w:rsidRDefault="000908DB">
      <w:pPr>
        <w:pStyle w:val="a3"/>
        <w:spacing w:before="7"/>
        <w:rPr>
          <w:lang w:val="en-NZ"/>
        </w:rPr>
      </w:pPr>
      <w:r w:rsidRPr="000908DB">
        <w:rPr>
          <w:lang w:val="en-NZ"/>
        </w:rPr>
        <w:t>Name:</w:t>
      </w:r>
      <w:r w:rsidR="00FC029C">
        <w:rPr>
          <w:lang w:val="en-NZ"/>
        </w:rPr>
        <w:t xml:space="preserve"> Yuichi </w:t>
      </w:r>
      <w:proofErr w:type="spellStart"/>
      <w:r w:rsidR="00FC029C">
        <w:rPr>
          <w:lang w:val="en-NZ"/>
        </w:rPr>
        <w:t>Negishi</w:t>
      </w:r>
      <w:proofErr w:type="spellEnd"/>
    </w:p>
    <w:p w:rsidR="000908DB" w:rsidRPr="000908DB" w:rsidRDefault="000908DB">
      <w:pPr>
        <w:pStyle w:val="a3"/>
        <w:spacing w:before="7"/>
        <w:rPr>
          <w:lang w:val="en-NZ"/>
        </w:rPr>
      </w:pPr>
      <w:r w:rsidRPr="000908DB">
        <w:rPr>
          <w:lang w:val="en-NZ"/>
        </w:rPr>
        <w:t>Email:</w:t>
      </w:r>
      <w:r w:rsidR="00FC029C">
        <w:rPr>
          <w:lang w:val="en-NZ"/>
        </w:rPr>
        <w:t xml:space="preserve"> negishi@rs.kagu.tus.ac.jp</w:t>
      </w:r>
    </w:p>
    <w:p w:rsidR="000908DB" w:rsidRDefault="000908DB">
      <w:pPr>
        <w:pStyle w:val="a3"/>
        <w:spacing w:before="7"/>
        <w:rPr>
          <w:lang w:val="en-NZ"/>
        </w:rPr>
      </w:pPr>
      <w:r w:rsidRPr="008A690F">
        <w:rPr>
          <w:lang w:val="en-NZ"/>
        </w:rPr>
        <w:t>Contact number:</w:t>
      </w:r>
      <w:r w:rsidR="00FC029C">
        <w:rPr>
          <w:lang w:val="en-NZ"/>
        </w:rPr>
        <w:t xml:space="preserve"> +81-3-5228-9145</w:t>
      </w:r>
    </w:p>
    <w:p w:rsidR="000908DB" w:rsidRDefault="000908DB">
      <w:pPr>
        <w:pStyle w:val="a3"/>
        <w:spacing w:before="7"/>
        <w:rPr>
          <w:lang w:val="en-NZ"/>
        </w:rPr>
      </w:pPr>
      <w:r w:rsidRPr="008A690F">
        <w:rPr>
          <w:lang w:val="en-NZ"/>
        </w:rPr>
        <w:t xml:space="preserve">Session name/ </w:t>
      </w:r>
      <w:r>
        <w:rPr>
          <w:lang w:val="en-NZ"/>
        </w:rPr>
        <w:t>Track name:</w:t>
      </w:r>
      <w:r w:rsidR="00FC029C">
        <w:rPr>
          <w:lang w:val="en-NZ"/>
        </w:rPr>
        <w:t xml:space="preserve"> </w:t>
      </w:r>
      <w:r w:rsidR="0084123F">
        <w:rPr>
          <w:color w:val="000000" w:themeColor="text1"/>
        </w:rPr>
        <w:t>Chromatography-Mass S</w:t>
      </w:r>
      <w:r w:rsidR="0084123F" w:rsidRPr="008E6A51">
        <w:rPr>
          <w:color w:val="000000" w:themeColor="text1"/>
        </w:rPr>
        <w:t>pectrometry</w:t>
      </w:r>
      <w:r w:rsidR="0084123F">
        <w:rPr>
          <w:color w:val="000000" w:themeColor="text1"/>
        </w:rPr>
        <w:t xml:space="preserve"> Analysis</w:t>
      </w:r>
    </w:p>
    <w:p w:rsidR="000908DB" w:rsidRPr="00FC029C" w:rsidRDefault="000908DB">
      <w:pPr>
        <w:pStyle w:val="a3"/>
        <w:spacing w:before="7"/>
        <w:rPr>
          <w:lang w:val="en-NZ"/>
        </w:rPr>
      </w:pPr>
      <w:r w:rsidRPr="008A690F">
        <w:rPr>
          <w:lang w:val="en-NZ"/>
        </w:rPr>
        <w:t>Category</w:t>
      </w:r>
      <w:r>
        <w:rPr>
          <w:lang w:val="en-NZ"/>
        </w:rPr>
        <w:t xml:space="preserve">: (Oral/ poster): </w:t>
      </w:r>
      <w:r w:rsidR="00FC029C">
        <w:rPr>
          <w:lang w:val="en-NZ"/>
        </w:rPr>
        <w:t>Oral</w:t>
      </w:r>
    </w:p>
    <w:p w:rsidR="00AE3E37" w:rsidRPr="004648CE" w:rsidRDefault="00FC029C" w:rsidP="00FC029C">
      <w:pPr>
        <w:spacing w:before="39"/>
        <w:rPr>
          <w:rFonts w:ascii="Minion Pro"/>
          <w:b/>
          <w:sz w:val="20"/>
        </w:rPr>
        <w:sectPr w:rsidR="00AE3E37" w:rsidRPr="004648CE">
          <w:type w:val="continuous"/>
          <w:pgSz w:w="11910" w:h="16840"/>
          <w:pgMar w:top="1740" w:right="600" w:bottom="840" w:left="620" w:header="720" w:footer="720" w:gutter="0"/>
          <w:cols w:space="720"/>
        </w:sectPr>
      </w:pPr>
      <w:r>
        <w:rPr>
          <w:rFonts w:ascii="Minion Pro"/>
          <w:b/>
          <w:sz w:val="20"/>
        </w:rPr>
        <w:t>Notes/Comment</w:t>
      </w:r>
    </w:p>
    <w:p w:rsidR="00AE3E37" w:rsidRDefault="00AE3E37" w:rsidP="00C558AB">
      <w:pPr>
        <w:pStyle w:val="a3"/>
        <w:spacing w:before="3" w:line="20" w:lineRule="exact"/>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68B1" w:rsidRDefault="008668B1">
      <w:r>
        <w:separator/>
      </w:r>
    </w:p>
  </w:endnote>
  <w:endnote w:type="continuationSeparator" w:id="0">
    <w:p w:rsidR="008668B1" w:rsidRDefault="00866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MS UI Gothic">
    <w:panose1 w:val="020B0600070205080204"/>
    <w:charset w:val="80"/>
    <w:family w:val="swiss"/>
    <w:pitch w:val="variable"/>
    <w:sig w:usb0="E00002FF" w:usb1="6AC7FDFB" w:usb2="08000012"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 w:name="ヒラギノ角ゴ Pro W3">
    <w:panose1 w:val="020B0300000000000000"/>
    <w:charset w:val="80"/>
    <w:family w:val="swiss"/>
    <w:pitch w:val="variable"/>
    <w:sig w:usb0="E00002FF" w:usb1="7AC7FFFF" w:usb2="00000012" w:usb3="00000000" w:csb0="0002000D" w:csb1="00000000"/>
  </w:font>
  <w:font w:name="Hiragino Kaku Gothic Pro W3">
    <w:altName w:val="游ゴシック"/>
    <w:panose1 w:val="020B0300000000000000"/>
    <w:charset w:val="80"/>
    <w:family w:val="swiss"/>
    <w:pitch w:val="variable"/>
    <w:sig w:usb0="E00002FF" w:usb1="7AC7FFFF" w:usb2="00000012" w:usb3="00000000" w:csb0="0002000D"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68B1" w:rsidRDefault="008668B1">
      <w:r>
        <w:separator/>
      </w:r>
    </w:p>
  </w:footnote>
  <w:footnote w:type="continuationSeparator" w:id="0">
    <w:p w:rsidR="008668B1" w:rsidRDefault="008668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AE3E37">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43BE5"/>
    <w:rsid w:val="000908DB"/>
    <w:rsid w:val="000E2911"/>
    <w:rsid w:val="001263DF"/>
    <w:rsid w:val="0018088E"/>
    <w:rsid w:val="0019356A"/>
    <w:rsid w:val="001D561F"/>
    <w:rsid w:val="00241B0A"/>
    <w:rsid w:val="00292ED9"/>
    <w:rsid w:val="0036518A"/>
    <w:rsid w:val="00404E5B"/>
    <w:rsid w:val="00414F7B"/>
    <w:rsid w:val="004355DC"/>
    <w:rsid w:val="00447D0D"/>
    <w:rsid w:val="004648CE"/>
    <w:rsid w:val="004749B4"/>
    <w:rsid w:val="00494130"/>
    <w:rsid w:val="004F3523"/>
    <w:rsid w:val="005973B9"/>
    <w:rsid w:val="005B3A56"/>
    <w:rsid w:val="006060CE"/>
    <w:rsid w:val="0063497F"/>
    <w:rsid w:val="006940DE"/>
    <w:rsid w:val="0077308C"/>
    <w:rsid w:val="0084123F"/>
    <w:rsid w:val="008668B1"/>
    <w:rsid w:val="00873DF0"/>
    <w:rsid w:val="008756E6"/>
    <w:rsid w:val="009B2D44"/>
    <w:rsid w:val="00A07E82"/>
    <w:rsid w:val="00A9710C"/>
    <w:rsid w:val="00AE3E37"/>
    <w:rsid w:val="00B219ED"/>
    <w:rsid w:val="00B21A57"/>
    <w:rsid w:val="00B74E94"/>
    <w:rsid w:val="00BB3CA5"/>
    <w:rsid w:val="00BB6ACC"/>
    <w:rsid w:val="00C33602"/>
    <w:rsid w:val="00C558AB"/>
    <w:rsid w:val="00CD6F55"/>
    <w:rsid w:val="00D54473"/>
    <w:rsid w:val="00DE3104"/>
    <w:rsid w:val="00E34626"/>
    <w:rsid w:val="00F72EEA"/>
    <w:rsid w:val="00F84CAE"/>
    <w:rsid w:val="00FC029C"/>
    <w:rsid w:val="00FF16DC"/>
    <w:rsid w:val="00FF4B22"/>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AD1C1BE"/>
  <w15:docId w15:val="{98E02182-F789-EE4B-B893-D1F3B0B0A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5" Type="http://schemas.openxmlformats.org/officeDocument/2006/relationships/webSettings" Target="webSettings.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CF4F0A-3D18-7142-954E-85A0FA922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594</Words>
  <Characters>3387</Characters>
  <Application>Microsoft Office Word</Application>
  <DocSecurity>0</DocSecurity>
  <Lines>28</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根岸　雄一</cp:lastModifiedBy>
  <cp:revision>2</cp:revision>
  <cp:lastPrinted>2018-01-29T12:23:00Z</cp:lastPrinted>
  <dcterms:created xsi:type="dcterms:W3CDTF">2018-01-29T12:23:00Z</dcterms:created>
  <dcterms:modified xsi:type="dcterms:W3CDTF">2018-01-29T12:23:00Z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