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214E" w:rsidRDefault="0014214E" w:rsidP="0014214E">
      <w:pPr>
        <w:jc w:val="both"/>
        <w:rPr>
          <w:rFonts w:ascii="Times New Roman" w:hAnsi="Times New Roman" w:cs="Times New Roman"/>
          <w:sz w:val="28"/>
          <w:szCs w:val="28"/>
        </w:rPr>
      </w:pPr>
      <w:proofErr w:type="gramStart"/>
      <w:r w:rsidRPr="0014214E">
        <w:rPr>
          <w:rFonts w:ascii="Times New Roman" w:hAnsi="Times New Roman" w:cs="Times New Roman"/>
          <w:b/>
          <w:sz w:val="28"/>
          <w:szCs w:val="28"/>
        </w:rPr>
        <w:t>Title :</w:t>
      </w:r>
      <w:proofErr w:type="gramEnd"/>
      <w:r w:rsidRPr="0014214E">
        <w:rPr>
          <w:rFonts w:ascii="Times New Roman" w:hAnsi="Times New Roman" w:cs="Times New Roman"/>
          <w:b/>
          <w:sz w:val="28"/>
          <w:szCs w:val="28"/>
        </w:rPr>
        <w:t xml:space="preserve">  </w:t>
      </w:r>
      <w:r w:rsidR="00B72251" w:rsidRPr="0014214E">
        <w:rPr>
          <w:rFonts w:ascii="Times New Roman" w:hAnsi="Times New Roman" w:cs="Times New Roman"/>
          <w:sz w:val="28"/>
          <w:szCs w:val="28"/>
        </w:rPr>
        <w:t xml:space="preserve">Emerging Technologies in Analysis of </w:t>
      </w:r>
      <w:proofErr w:type="spellStart"/>
      <w:r w:rsidR="004B18AB" w:rsidRPr="0014214E">
        <w:rPr>
          <w:rFonts w:ascii="Times New Roman" w:hAnsi="Times New Roman" w:cs="Times New Roman"/>
          <w:sz w:val="28"/>
          <w:szCs w:val="28"/>
        </w:rPr>
        <w:t>Unsaponifiable</w:t>
      </w:r>
      <w:proofErr w:type="spellEnd"/>
      <w:r w:rsidR="004B18AB" w:rsidRPr="0014214E">
        <w:rPr>
          <w:rFonts w:ascii="Times New Roman" w:hAnsi="Times New Roman" w:cs="Times New Roman"/>
          <w:sz w:val="28"/>
          <w:szCs w:val="28"/>
        </w:rPr>
        <w:t xml:space="preserve"> Compounds from </w:t>
      </w:r>
      <w:r>
        <w:rPr>
          <w:rFonts w:ascii="Times New Roman" w:hAnsi="Times New Roman" w:cs="Times New Roman"/>
          <w:sz w:val="28"/>
          <w:szCs w:val="28"/>
        </w:rPr>
        <w:t xml:space="preserve"> </w:t>
      </w:r>
    </w:p>
    <w:p w:rsidR="0009759B" w:rsidRPr="0014214E" w:rsidRDefault="0014214E" w:rsidP="0014214E">
      <w:pPr>
        <w:jc w:val="both"/>
        <w:rPr>
          <w:rFonts w:ascii="Times New Roman" w:hAnsi="Times New Roman" w:cs="Times New Roman"/>
          <w:sz w:val="28"/>
          <w:szCs w:val="28"/>
        </w:rPr>
      </w:pPr>
      <w:r>
        <w:rPr>
          <w:rFonts w:ascii="Times New Roman" w:hAnsi="Times New Roman" w:cs="Times New Roman"/>
          <w:sz w:val="28"/>
          <w:szCs w:val="28"/>
        </w:rPr>
        <w:t xml:space="preserve">             </w:t>
      </w:r>
      <w:r w:rsidR="004B18AB" w:rsidRPr="0014214E">
        <w:rPr>
          <w:rFonts w:ascii="Times New Roman" w:hAnsi="Times New Roman" w:cs="Times New Roman"/>
          <w:sz w:val="28"/>
          <w:szCs w:val="28"/>
        </w:rPr>
        <w:t>Palm Oil</w:t>
      </w:r>
    </w:p>
    <w:p w:rsidR="00B72251" w:rsidRPr="0014214E" w:rsidRDefault="00B72251" w:rsidP="00B72251">
      <w:pPr>
        <w:jc w:val="center"/>
        <w:rPr>
          <w:rFonts w:ascii="Times New Roman" w:hAnsi="Times New Roman" w:cs="Times New Roman"/>
          <w:sz w:val="28"/>
          <w:szCs w:val="28"/>
        </w:rPr>
      </w:pPr>
    </w:p>
    <w:p w:rsidR="00B72251" w:rsidRDefault="00B72251" w:rsidP="0014214E">
      <w:pPr>
        <w:spacing w:after="0"/>
        <w:jc w:val="center"/>
        <w:rPr>
          <w:rFonts w:ascii="Times New Roman" w:hAnsi="Times New Roman" w:cs="Times New Roman"/>
          <w:sz w:val="24"/>
          <w:szCs w:val="24"/>
        </w:rPr>
      </w:pPr>
      <w:r>
        <w:rPr>
          <w:rFonts w:ascii="Times New Roman" w:hAnsi="Times New Roman" w:cs="Times New Roman"/>
          <w:sz w:val="24"/>
          <w:szCs w:val="24"/>
        </w:rPr>
        <w:t>Ng Mei Han</w:t>
      </w:r>
    </w:p>
    <w:p w:rsidR="00B72251" w:rsidRDefault="00B72251" w:rsidP="0014214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Engineering and Processing Research Division</w:t>
      </w:r>
      <w:r w:rsidR="0014214E">
        <w:rPr>
          <w:rFonts w:ascii="Times New Roman" w:hAnsi="Times New Roman" w:cs="Times New Roman"/>
          <w:sz w:val="24"/>
          <w:szCs w:val="24"/>
        </w:rPr>
        <w:t xml:space="preserve">, </w:t>
      </w:r>
      <w:r>
        <w:rPr>
          <w:rFonts w:ascii="Times New Roman" w:hAnsi="Times New Roman" w:cs="Times New Roman"/>
          <w:sz w:val="24"/>
          <w:szCs w:val="24"/>
        </w:rPr>
        <w:t>Malaysian Palm Oil Board</w:t>
      </w:r>
      <w:r w:rsidR="0014214E">
        <w:rPr>
          <w:rFonts w:ascii="Times New Roman" w:hAnsi="Times New Roman" w:cs="Times New Roman"/>
          <w:sz w:val="24"/>
          <w:szCs w:val="24"/>
        </w:rPr>
        <w:t>, Malaysia</w:t>
      </w:r>
      <w:bookmarkStart w:id="0" w:name="_GoBack"/>
      <w:bookmarkEnd w:id="0"/>
    </w:p>
    <w:p w:rsidR="00B72251" w:rsidRDefault="00B72251" w:rsidP="0014214E">
      <w:pPr>
        <w:spacing w:after="0" w:line="240" w:lineRule="auto"/>
        <w:jc w:val="center"/>
        <w:rPr>
          <w:rFonts w:ascii="Times New Roman" w:hAnsi="Times New Roman" w:cs="Times New Roman"/>
          <w:sz w:val="24"/>
          <w:szCs w:val="24"/>
        </w:rPr>
      </w:pPr>
    </w:p>
    <w:p w:rsidR="008D5995" w:rsidRDefault="0014214E" w:rsidP="0014214E">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B86607">
        <w:rPr>
          <w:rFonts w:ascii="Times New Roman" w:hAnsi="Times New Roman" w:cs="Times New Roman"/>
          <w:sz w:val="24"/>
          <w:szCs w:val="24"/>
        </w:rPr>
        <w:t xml:space="preserve">he </w:t>
      </w:r>
      <w:proofErr w:type="spellStart"/>
      <w:r w:rsidR="00B86607">
        <w:rPr>
          <w:rFonts w:ascii="Times New Roman" w:hAnsi="Times New Roman" w:cs="Times New Roman"/>
          <w:sz w:val="24"/>
          <w:szCs w:val="24"/>
        </w:rPr>
        <w:t>unsaponifiable</w:t>
      </w:r>
      <w:proofErr w:type="spellEnd"/>
      <w:r w:rsidR="00B86607">
        <w:rPr>
          <w:rFonts w:ascii="Times New Roman" w:hAnsi="Times New Roman" w:cs="Times New Roman"/>
          <w:sz w:val="24"/>
          <w:szCs w:val="24"/>
        </w:rPr>
        <w:t xml:space="preserve"> fraction in edible oils such as palm oil contains </w:t>
      </w:r>
      <w:proofErr w:type="gramStart"/>
      <w:r w:rsidR="00B86607">
        <w:rPr>
          <w:rFonts w:ascii="Times New Roman" w:hAnsi="Times New Roman" w:cs="Times New Roman"/>
          <w:sz w:val="24"/>
          <w:szCs w:val="24"/>
        </w:rPr>
        <w:t>p</w:t>
      </w:r>
      <w:r w:rsidR="00B72251">
        <w:rPr>
          <w:rFonts w:ascii="Times New Roman" w:hAnsi="Times New Roman" w:cs="Times New Roman"/>
          <w:sz w:val="24"/>
          <w:szCs w:val="24"/>
        </w:rPr>
        <w:t xml:space="preserve">hytonutrients </w:t>
      </w:r>
      <w:r w:rsidR="00B86607">
        <w:rPr>
          <w:rFonts w:ascii="Times New Roman" w:hAnsi="Times New Roman" w:cs="Times New Roman"/>
          <w:sz w:val="24"/>
          <w:szCs w:val="24"/>
        </w:rPr>
        <w:t xml:space="preserve"> in</w:t>
      </w:r>
      <w:proofErr w:type="gramEnd"/>
      <w:r w:rsidR="00B86607">
        <w:rPr>
          <w:rFonts w:ascii="Times New Roman" w:hAnsi="Times New Roman" w:cs="Times New Roman"/>
          <w:sz w:val="24"/>
          <w:szCs w:val="24"/>
        </w:rPr>
        <w:t xml:space="preserve"> the form of </w:t>
      </w:r>
      <w:r w:rsidR="00B72251">
        <w:rPr>
          <w:rFonts w:ascii="Times New Roman" w:hAnsi="Times New Roman" w:cs="Times New Roman"/>
          <w:sz w:val="24"/>
          <w:szCs w:val="24"/>
        </w:rPr>
        <w:t xml:space="preserve">carotenes, </w:t>
      </w:r>
      <w:proofErr w:type="spellStart"/>
      <w:r w:rsidR="00B72251">
        <w:rPr>
          <w:rFonts w:ascii="Times New Roman" w:hAnsi="Times New Roman" w:cs="Times New Roman"/>
          <w:sz w:val="24"/>
          <w:szCs w:val="24"/>
        </w:rPr>
        <w:t>tocols</w:t>
      </w:r>
      <w:proofErr w:type="spellEnd"/>
      <w:r w:rsidR="00B72251">
        <w:rPr>
          <w:rFonts w:ascii="Times New Roman" w:hAnsi="Times New Roman" w:cs="Times New Roman"/>
          <w:sz w:val="24"/>
          <w:szCs w:val="24"/>
        </w:rPr>
        <w:t xml:space="preserve"> (tocopherols and </w:t>
      </w:r>
      <w:proofErr w:type="spellStart"/>
      <w:r w:rsidR="00B72251">
        <w:rPr>
          <w:rFonts w:ascii="Times New Roman" w:hAnsi="Times New Roman" w:cs="Times New Roman"/>
          <w:sz w:val="24"/>
          <w:szCs w:val="24"/>
        </w:rPr>
        <w:t>tocotrienols</w:t>
      </w:r>
      <w:proofErr w:type="spellEnd"/>
      <w:r w:rsidR="00B72251">
        <w:rPr>
          <w:rFonts w:ascii="Times New Roman" w:hAnsi="Times New Roman" w:cs="Times New Roman"/>
          <w:sz w:val="24"/>
          <w:szCs w:val="24"/>
        </w:rPr>
        <w:t xml:space="preserve">), squalene, co-enzyme Q, sterols and </w:t>
      </w:r>
      <w:proofErr w:type="spellStart"/>
      <w:r w:rsidR="00B72251">
        <w:rPr>
          <w:rFonts w:ascii="Times New Roman" w:hAnsi="Times New Roman" w:cs="Times New Roman"/>
          <w:sz w:val="24"/>
          <w:szCs w:val="24"/>
        </w:rPr>
        <w:t>phenolics</w:t>
      </w:r>
      <w:proofErr w:type="spellEnd"/>
      <w:r w:rsidR="00B72251">
        <w:rPr>
          <w:rFonts w:ascii="Times New Roman" w:hAnsi="Times New Roman" w:cs="Times New Roman"/>
          <w:sz w:val="24"/>
          <w:szCs w:val="24"/>
        </w:rPr>
        <w:t xml:space="preserve">.  Although in minor concentrations, the presence of these phytonutrients is of great benefits.  A lot of work had been invested in </w:t>
      </w:r>
      <w:r w:rsidR="008D5995">
        <w:rPr>
          <w:rFonts w:ascii="Times New Roman" w:hAnsi="Times New Roman" w:cs="Times New Roman"/>
          <w:sz w:val="24"/>
          <w:szCs w:val="24"/>
        </w:rPr>
        <w:t>researching</w:t>
      </w:r>
      <w:r w:rsidR="00B72251">
        <w:rPr>
          <w:rFonts w:ascii="Times New Roman" w:hAnsi="Times New Roman" w:cs="Times New Roman"/>
          <w:sz w:val="24"/>
          <w:szCs w:val="24"/>
        </w:rPr>
        <w:t xml:space="preserve"> the best methods for the analyses of these phytonutrients.  </w:t>
      </w:r>
      <w:r w:rsidR="00206D44" w:rsidRPr="00206D44">
        <w:rPr>
          <w:rStyle w:val="e24kjd"/>
          <w:rFonts w:ascii="Times New Roman" w:hAnsi="Times New Roman" w:cs="Times New Roman"/>
          <w:bCs/>
          <w:sz w:val="24"/>
          <w:szCs w:val="24"/>
        </w:rPr>
        <w:t>Analytical chemistry</w:t>
      </w:r>
      <w:r w:rsidR="00206D44" w:rsidRPr="00206D44">
        <w:rPr>
          <w:rStyle w:val="e24kjd"/>
          <w:rFonts w:ascii="Times New Roman" w:hAnsi="Times New Roman" w:cs="Times New Roman"/>
          <w:sz w:val="24"/>
          <w:szCs w:val="24"/>
        </w:rPr>
        <w:t xml:space="preserve"> studies and uses instruments and </w:t>
      </w:r>
      <w:r w:rsidR="00206D44" w:rsidRPr="00206D44">
        <w:rPr>
          <w:rStyle w:val="e24kjd"/>
          <w:rFonts w:ascii="Times New Roman" w:hAnsi="Times New Roman" w:cs="Times New Roman"/>
          <w:bCs/>
          <w:sz w:val="24"/>
          <w:szCs w:val="24"/>
        </w:rPr>
        <w:t>methods</w:t>
      </w:r>
      <w:r w:rsidR="00206D44" w:rsidRPr="00206D44">
        <w:rPr>
          <w:rStyle w:val="e24kjd"/>
          <w:rFonts w:ascii="Times New Roman" w:hAnsi="Times New Roman" w:cs="Times New Roman"/>
          <w:sz w:val="24"/>
          <w:szCs w:val="24"/>
        </w:rPr>
        <w:t xml:space="preserve"> to separate, identify, and quantify matter. In practice, separation, identification or quantification may constitute the entire analysis or be combined with other method.</w:t>
      </w:r>
      <w:r w:rsidR="00206D44">
        <w:rPr>
          <w:rStyle w:val="e24kjd"/>
          <w:rFonts w:ascii="Times New Roman" w:hAnsi="Times New Roman" w:cs="Times New Roman"/>
          <w:sz w:val="24"/>
          <w:szCs w:val="24"/>
        </w:rPr>
        <w:t xml:space="preserve">  </w:t>
      </w:r>
      <w:r w:rsidR="00B72251">
        <w:rPr>
          <w:rFonts w:ascii="Times New Roman" w:hAnsi="Times New Roman" w:cs="Times New Roman"/>
          <w:sz w:val="24"/>
          <w:szCs w:val="24"/>
        </w:rPr>
        <w:t>The analyses of the palm phytonutrients are of importance and interest due to their minor concentrations</w:t>
      </w:r>
      <w:r w:rsidR="0040638B">
        <w:rPr>
          <w:rFonts w:ascii="Times New Roman" w:hAnsi="Times New Roman" w:cs="Times New Roman"/>
          <w:sz w:val="24"/>
          <w:szCs w:val="24"/>
        </w:rPr>
        <w:t xml:space="preserve"> and valuable benefits</w:t>
      </w:r>
      <w:r w:rsidR="00B72251">
        <w:rPr>
          <w:rFonts w:ascii="Times New Roman" w:hAnsi="Times New Roman" w:cs="Times New Roman"/>
          <w:sz w:val="24"/>
          <w:szCs w:val="24"/>
        </w:rPr>
        <w:t xml:space="preserve">, thus, </w:t>
      </w:r>
      <w:r w:rsidR="008D5995">
        <w:rPr>
          <w:rFonts w:ascii="Times New Roman" w:hAnsi="Times New Roman" w:cs="Times New Roman"/>
          <w:sz w:val="24"/>
          <w:szCs w:val="24"/>
        </w:rPr>
        <w:t xml:space="preserve">the emphasis is to ensure that these analytical methods are accurate, reliable and reproducible.  Techniques such as high performance liquid chromatography (HPLC) and gas chromatography (GC) are among the favorites as they are quite common in the separation science community.  </w:t>
      </w:r>
      <w:r w:rsidR="0040638B">
        <w:rPr>
          <w:rFonts w:ascii="Times New Roman" w:hAnsi="Times New Roman" w:cs="Times New Roman"/>
          <w:sz w:val="24"/>
          <w:szCs w:val="24"/>
        </w:rPr>
        <w:t xml:space="preserve">Nevertheless, HPLC and GC are not the only techniques for the analyses of minor components such as the phytonutrients.  Emerging technologies that stemmed from conventional HPLC and GC such as the </w:t>
      </w:r>
      <w:proofErr w:type="spellStart"/>
      <w:r w:rsidR="0040638B">
        <w:rPr>
          <w:rFonts w:ascii="Times New Roman" w:hAnsi="Times New Roman" w:cs="Times New Roman"/>
          <w:sz w:val="24"/>
          <w:szCs w:val="24"/>
        </w:rPr>
        <w:t>ultra performance</w:t>
      </w:r>
      <w:proofErr w:type="spellEnd"/>
      <w:r w:rsidR="0040638B">
        <w:rPr>
          <w:rFonts w:ascii="Times New Roman" w:hAnsi="Times New Roman" w:cs="Times New Roman"/>
          <w:sz w:val="24"/>
          <w:szCs w:val="24"/>
        </w:rPr>
        <w:t xml:space="preserve"> liquid chromatography (UPLC) and convergence chromatography (CC) are increasingly popular. Hybrid analytical techniques that combine conventional chromatography with detection such as spectroscopy and spectrometry are also in the upward trend for the analyses of palm phytonutrients. </w:t>
      </w:r>
    </w:p>
    <w:p w:rsidR="0014214E" w:rsidRDefault="0014214E" w:rsidP="0014214E">
      <w:pPr>
        <w:spacing w:line="240" w:lineRule="auto"/>
        <w:jc w:val="both"/>
        <w:rPr>
          <w:rFonts w:ascii="Times New Roman" w:hAnsi="Times New Roman" w:cs="Times New Roman"/>
          <w:sz w:val="24"/>
          <w:szCs w:val="24"/>
        </w:rPr>
      </w:pPr>
    </w:p>
    <w:p w:rsidR="0014214E" w:rsidRPr="0014214E" w:rsidRDefault="0014214E" w:rsidP="0014214E">
      <w:pPr>
        <w:autoSpaceDE w:val="0"/>
        <w:autoSpaceDN w:val="0"/>
        <w:adjustRightInd w:val="0"/>
        <w:rPr>
          <w:rFonts w:ascii="Times New Roman" w:hAnsi="Times New Roman" w:cs="Times New Roman"/>
          <w:sz w:val="24"/>
          <w:szCs w:val="24"/>
          <w:lang w:val="en-NZ"/>
        </w:rPr>
      </w:pPr>
      <w:r w:rsidRPr="0014214E">
        <w:rPr>
          <w:rFonts w:ascii="Times New Roman" w:hAnsi="Times New Roman" w:cs="Times New Roman"/>
          <w:b/>
          <w:sz w:val="24"/>
          <w:szCs w:val="24"/>
          <w:lang w:val="en-NZ"/>
        </w:rPr>
        <w:t xml:space="preserve">Presenting author details </w:t>
      </w:r>
      <w:r w:rsidRPr="0014214E">
        <w:rPr>
          <w:rFonts w:ascii="Times New Roman" w:hAnsi="Times New Roman" w:cs="Times New Roman"/>
          <w:b/>
          <w:sz w:val="24"/>
          <w:szCs w:val="24"/>
          <w:lang w:val="en-NZ"/>
        </w:rPr>
        <w:br/>
      </w:r>
      <w:r w:rsidRPr="0014214E">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Ng Mei Han</w:t>
      </w:r>
      <w:r>
        <w:rPr>
          <w:rFonts w:ascii="Times New Roman" w:hAnsi="Times New Roman" w:cs="Times New Roman"/>
          <w:sz w:val="24"/>
          <w:szCs w:val="24"/>
          <w:lang w:val="en-NZ"/>
        </w:rPr>
        <w:tab/>
      </w:r>
      <w:r w:rsidRPr="0014214E">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+ 6017-8783092</w:t>
      </w:r>
      <w:r w:rsidRPr="0014214E">
        <w:rPr>
          <w:rFonts w:ascii="Times New Roman" w:hAnsi="Times New Roman" w:cs="Times New Roman"/>
          <w:sz w:val="24"/>
          <w:szCs w:val="24"/>
          <w:lang w:val="en-NZ"/>
        </w:rPr>
        <w:br/>
      </w:r>
      <w:r>
        <w:rPr>
          <w:rFonts w:ascii="Times New Roman" w:hAnsi="Times New Roman" w:cs="Times New Roman"/>
          <w:sz w:val="24"/>
          <w:szCs w:val="24"/>
          <w:lang w:val="en-NZ"/>
        </w:rPr>
        <w:t xml:space="preserve">Category: </w:t>
      </w:r>
      <w:r w:rsidRPr="0014214E">
        <w:rPr>
          <w:rFonts w:ascii="Times New Roman" w:hAnsi="Times New Roman" w:cs="Times New Roman"/>
          <w:sz w:val="24"/>
          <w:szCs w:val="24"/>
          <w:lang w:val="en-NZ"/>
        </w:rPr>
        <w:t>Oral presentation</w:t>
      </w:r>
    </w:p>
    <w:sectPr w:rsidR="0014214E" w:rsidRPr="00142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51"/>
    <w:rsid w:val="0014214E"/>
    <w:rsid w:val="00206D44"/>
    <w:rsid w:val="0040638B"/>
    <w:rsid w:val="004B18AB"/>
    <w:rsid w:val="008D5995"/>
    <w:rsid w:val="00A30E9E"/>
    <w:rsid w:val="00AF515B"/>
    <w:rsid w:val="00B72251"/>
    <w:rsid w:val="00B86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35E0D1-1C2A-4863-8A9F-6BACD2EB0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8D5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275</Words>
  <Characters>1573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Ng Mei Han</cp:lastModifiedBy>
  <cp:revision>4</cp:revision>
  <dcterms:created xsi:type="dcterms:W3CDTF">2019-11-19T07:21:00Z</dcterms:created>
  <dcterms:modified xsi:type="dcterms:W3CDTF">2019-11-19T07:27:00Z</dcterms:modified>
</cp:coreProperties>
</file>