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C600A9" w:rsidRDefault="00220F50" w:rsidP="00494130">
      <w:pPr>
        <w:pStyle w:val="Titolo1"/>
        <w:spacing w:before="170"/>
        <w:ind w:left="0"/>
        <w:rPr>
          <w:color w:val="337AB7"/>
        </w:rPr>
      </w:pPr>
      <w:r>
        <w:rPr>
          <w:color w:val="337AB7"/>
        </w:rPr>
        <w:t xml:space="preserve">The Block Relevance (BR) analysis to interpret chromatographic data: </w:t>
      </w:r>
      <w:r w:rsidR="004C3D4A" w:rsidRPr="00C600A9">
        <w:rPr>
          <w:color w:val="337AB7"/>
        </w:rPr>
        <w:t>application to</w:t>
      </w:r>
      <w:r w:rsidRPr="00C600A9">
        <w:rPr>
          <w:color w:val="337AB7"/>
        </w:rPr>
        <w:t xml:space="preserve"> IAM </w:t>
      </w:r>
      <w:r w:rsidR="004C3D4A" w:rsidRPr="00C600A9">
        <w:rPr>
          <w:color w:val="337AB7"/>
        </w:rPr>
        <w:t>chromatography</w:t>
      </w:r>
      <w:r w:rsidRPr="00C600A9">
        <w:rPr>
          <w:color w:val="337AB7"/>
        </w:rPr>
        <w:t xml:space="preserve"> </w:t>
      </w:r>
      <w:r w:rsidR="00BE39A8" w:rsidRPr="00C600A9">
        <w:rPr>
          <w:color w:val="337AB7"/>
        </w:rPr>
        <w:t>in</w:t>
      </w:r>
      <w:r w:rsidRPr="00C600A9">
        <w:rPr>
          <w:color w:val="337AB7"/>
        </w:rPr>
        <w:t xml:space="preserve"> </w:t>
      </w:r>
      <w:r w:rsidR="00DC087E" w:rsidRPr="00C600A9">
        <w:rPr>
          <w:color w:val="337AB7"/>
        </w:rPr>
        <w:t>permeability studies</w:t>
      </w:r>
    </w:p>
    <w:p w:rsidR="005576BE" w:rsidRPr="00220F50" w:rsidRDefault="00220F50" w:rsidP="005973B9">
      <w:pPr>
        <w:pStyle w:val="Corpotesto"/>
        <w:spacing w:before="73" w:line="198" w:lineRule="exact"/>
        <w:ind w:left="100" w:right="5987"/>
        <w:rPr>
          <w:rFonts w:ascii="Arial"/>
          <w:lang w:val="it-IT"/>
        </w:rPr>
      </w:pPr>
      <w:r w:rsidRPr="00220F50">
        <w:rPr>
          <w:rFonts w:ascii="Arial"/>
          <w:lang w:val="it-IT"/>
        </w:rPr>
        <w:t>Giulia Caron</w:t>
      </w:r>
      <w:r w:rsidR="005973B9" w:rsidRPr="00220F50">
        <w:rPr>
          <w:rFonts w:ascii="Arial"/>
          <w:lang w:val="it-IT"/>
        </w:rPr>
        <w:t xml:space="preserve"> </w:t>
      </w:r>
      <w:proofErr w:type="spellStart"/>
      <w:r w:rsidR="005973B9" w:rsidRPr="00220F50">
        <w:rPr>
          <w:rFonts w:ascii="Arial"/>
          <w:lang w:val="it-IT"/>
        </w:rPr>
        <w:t>PhD</w:t>
      </w:r>
      <w:proofErr w:type="spellEnd"/>
      <w:r w:rsidR="005973B9" w:rsidRPr="00220F50">
        <w:rPr>
          <w:rFonts w:ascii="Arial"/>
          <w:lang w:val="it-IT"/>
        </w:rPr>
        <w:t xml:space="preserve">, </w:t>
      </w:r>
      <w:proofErr w:type="spellStart"/>
      <w:r w:rsidRPr="00220F50">
        <w:rPr>
          <w:rFonts w:ascii="Arial"/>
          <w:lang w:val="it-IT"/>
        </w:rPr>
        <w:t>University</w:t>
      </w:r>
      <w:proofErr w:type="spellEnd"/>
      <w:r w:rsidRPr="00220F50">
        <w:rPr>
          <w:rFonts w:ascii="Arial"/>
          <w:lang w:val="it-IT"/>
        </w:rPr>
        <w:t xml:space="preserve"> of Torino, Torino, </w:t>
      </w:r>
      <w:proofErr w:type="spellStart"/>
      <w:r w:rsidRPr="00220F50">
        <w:rPr>
          <w:rFonts w:ascii="Arial"/>
          <w:lang w:val="it-IT"/>
        </w:rPr>
        <w:t>Italy</w:t>
      </w:r>
      <w:proofErr w:type="spellEnd"/>
      <w:r w:rsidRPr="00220F50">
        <w:rPr>
          <w:rFonts w:ascii="Arial"/>
          <w:lang w:val="it-IT"/>
        </w:rPr>
        <w:t xml:space="preserve"> Maura </w:t>
      </w:r>
      <w:proofErr w:type="spellStart"/>
      <w:r>
        <w:rPr>
          <w:rFonts w:ascii="Arial"/>
          <w:lang w:val="it-IT"/>
        </w:rPr>
        <w:t>Vallaro</w:t>
      </w:r>
      <w:proofErr w:type="spellEnd"/>
      <w:r w:rsidR="005973B9" w:rsidRPr="00220F50">
        <w:rPr>
          <w:rFonts w:ascii="Arial"/>
          <w:lang w:val="it-IT"/>
        </w:rPr>
        <w:t xml:space="preserve">, </w:t>
      </w:r>
      <w:proofErr w:type="spellStart"/>
      <w:r w:rsidRPr="00220F50">
        <w:rPr>
          <w:rFonts w:ascii="Arial"/>
          <w:lang w:val="it-IT"/>
        </w:rPr>
        <w:t>University</w:t>
      </w:r>
      <w:proofErr w:type="spellEnd"/>
      <w:r w:rsidRPr="00220F50">
        <w:rPr>
          <w:rFonts w:ascii="Arial"/>
          <w:lang w:val="it-IT"/>
        </w:rPr>
        <w:t xml:space="preserve"> of Torino, Torino, </w:t>
      </w:r>
      <w:proofErr w:type="spellStart"/>
      <w:r w:rsidRPr="00220F50">
        <w:rPr>
          <w:rFonts w:ascii="Arial"/>
          <w:lang w:val="it-IT"/>
        </w:rPr>
        <w:t>Italy</w:t>
      </w:r>
      <w:proofErr w:type="spellEnd"/>
      <w:r w:rsidR="002A319B">
        <w:rPr>
          <w:rFonts w:ascii="Arial"/>
          <w:lang w:val="it-IT"/>
        </w:rPr>
        <w:t xml:space="preserve"> </w:t>
      </w:r>
      <w:r w:rsidR="005576BE">
        <w:rPr>
          <w:rFonts w:ascii="Arial"/>
          <w:lang w:val="it-IT"/>
        </w:rPr>
        <w:t xml:space="preserve">Giuseppe </w:t>
      </w:r>
      <w:proofErr w:type="spellStart"/>
      <w:r w:rsidR="005576BE">
        <w:rPr>
          <w:rFonts w:ascii="Arial"/>
          <w:lang w:val="it-IT"/>
        </w:rPr>
        <w:t>Ermondi</w:t>
      </w:r>
      <w:proofErr w:type="spellEnd"/>
      <w:r w:rsidR="005576BE">
        <w:rPr>
          <w:rFonts w:ascii="Arial"/>
          <w:lang w:val="it-IT"/>
        </w:rPr>
        <w:t xml:space="preserve"> </w:t>
      </w:r>
      <w:proofErr w:type="spellStart"/>
      <w:r w:rsidR="005576BE">
        <w:rPr>
          <w:rFonts w:ascii="Arial"/>
          <w:lang w:val="it-IT"/>
        </w:rPr>
        <w:t>PhD</w:t>
      </w:r>
      <w:proofErr w:type="spellEnd"/>
      <w:r w:rsidR="0018261D">
        <w:rPr>
          <w:rFonts w:ascii="Arial"/>
          <w:lang w:val="it-IT"/>
        </w:rPr>
        <w:t>,</w:t>
      </w:r>
      <w:r w:rsidR="005576BE">
        <w:rPr>
          <w:rFonts w:ascii="Arial"/>
          <w:lang w:val="it-IT"/>
        </w:rPr>
        <w:t xml:space="preserve"> </w:t>
      </w:r>
      <w:proofErr w:type="spellStart"/>
      <w:r w:rsidR="005576BE" w:rsidRPr="00220F50">
        <w:rPr>
          <w:rFonts w:ascii="Arial"/>
          <w:lang w:val="it-IT"/>
        </w:rPr>
        <w:t>University</w:t>
      </w:r>
      <w:proofErr w:type="spellEnd"/>
      <w:r w:rsidR="005576BE" w:rsidRPr="00220F50">
        <w:rPr>
          <w:rFonts w:ascii="Arial"/>
          <w:lang w:val="it-IT"/>
        </w:rPr>
        <w:t xml:space="preserve"> of Torino, Torino, </w:t>
      </w:r>
      <w:proofErr w:type="spellStart"/>
      <w:r w:rsidR="005576BE" w:rsidRPr="00220F50">
        <w:rPr>
          <w:rFonts w:ascii="Arial"/>
          <w:lang w:val="it-IT"/>
        </w:rPr>
        <w:t>Italy</w:t>
      </w:r>
      <w:proofErr w:type="spellEnd"/>
    </w:p>
    <w:p w:rsidR="00AE3E37" w:rsidRPr="005576BE" w:rsidRDefault="00AE3E37">
      <w:pPr>
        <w:pStyle w:val="Corpotesto"/>
        <w:spacing w:before="3"/>
        <w:rPr>
          <w:rFonts w:ascii="Arial"/>
          <w:lang w:val="it-IT"/>
        </w:rPr>
      </w:pPr>
    </w:p>
    <w:p w:rsidR="00AE3E37" w:rsidRPr="00220F50" w:rsidRDefault="00AE3E37">
      <w:pPr>
        <w:rPr>
          <w:rFonts w:ascii="Arial"/>
          <w:sz w:val="21"/>
          <w:lang w:val="it-IT"/>
        </w:rPr>
        <w:sectPr w:rsidR="00AE3E37" w:rsidRPr="00220F50">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p>
    <w:p w:rsidR="00AE3E37" w:rsidRDefault="00A9710C" w:rsidP="00045F69">
      <w:pPr>
        <w:pStyle w:val="Corpotesto"/>
        <w:spacing w:before="90" w:line="280" w:lineRule="auto"/>
        <w:ind w:left="100"/>
        <w:jc w:val="both"/>
      </w:pPr>
      <w:r w:rsidRPr="00BD25F0">
        <w:rPr>
          <w:b/>
        </w:rPr>
        <w:t>Statement of the Problem</w:t>
      </w:r>
      <w:r w:rsidRPr="002A0894">
        <w:t xml:space="preserve">: </w:t>
      </w:r>
      <w:r w:rsidR="00C81307" w:rsidRPr="002A0894">
        <w:t>T</w:t>
      </w:r>
      <w:r w:rsidR="00CE5597" w:rsidRPr="002A0894">
        <w:t xml:space="preserve">he </w:t>
      </w:r>
      <w:r w:rsidR="00CE5597">
        <w:t xml:space="preserve">Block Relevance </w:t>
      </w:r>
      <w:r w:rsidR="00C81307">
        <w:t xml:space="preserve">(BR) </w:t>
      </w:r>
      <w:r w:rsidR="00CE5597">
        <w:t>analysis is a computational tool that can be conveniently used to characterize and compare chromatographic scales.</w:t>
      </w:r>
      <w:r w:rsidR="0098750D">
        <w:t xml:space="preserve"> </w:t>
      </w:r>
      <w:proofErr w:type="spellStart"/>
      <w:r w:rsidR="0098750D">
        <w:t>Immobilised</w:t>
      </w:r>
      <w:proofErr w:type="spellEnd"/>
      <w:r w:rsidR="0098750D">
        <w:t xml:space="preserve"> Artificial Membranes (IAM) chromatography </w:t>
      </w:r>
      <w:r w:rsidR="0098750D" w:rsidRPr="00C600A9">
        <w:t>is expected to predict drug membrane permeability</w:t>
      </w:r>
      <w:r w:rsidR="00DC087E" w:rsidRPr="00C600A9">
        <w:t>, a pivotal molecular property in drug discovery process</w:t>
      </w:r>
      <w:r w:rsidR="00C600A9" w:rsidRPr="00C600A9">
        <w:t>es</w:t>
      </w:r>
      <w:r w:rsidR="00642F01" w:rsidRPr="00C600A9">
        <w:t xml:space="preserve">. </w:t>
      </w:r>
      <w:r w:rsidRPr="00C600A9">
        <w:t xml:space="preserve">The purpose of </w:t>
      </w:r>
      <w:r w:rsidRPr="002A0894">
        <w:t xml:space="preserve">this study </w:t>
      </w:r>
      <w:r>
        <w:t>is to</w:t>
      </w:r>
      <w:r w:rsidR="00404E5B">
        <w:t xml:space="preserve"> </w:t>
      </w:r>
      <w:r w:rsidR="00533D31">
        <w:t xml:space="preserve">extract by BR analysis the </w:t>
      </w:r>
      <w:r w:rsidR="00533D31" w:rsidRPr="00C600A9">
        <w:t>balance of intermolecular interactions governing IAM descriptors</w:t>
      </w:r>
      <w:r w:rsidR="00DC087E" w:rsidRPr="00C600A9">
        <w:t xml:space="preserve"> (log </w:t>
      </w:r>
      <w:proofErr w:type="spellStart"/>
      <w:r w:rsidR="00DC087E" w:rsidRPr="00C600A9">
        <w:t>K</w:t>
      </w:r>
      <w:r w:rsidR="00DC087E" w:rsidRPr="00C600A9">
        <w:rPr>
          <w:vertAlign w:val="subscript"/>
        </w:rPr>
        <w:t>w</w:t>
      </w:r>
      <w:r w:rsidR="00DC087E" w:rsidRPr="00C600A9">
        <w:rPr>
          <w:vertAlign w:val="superscript"/>
        </w:rPr>
        <w:t>IAM</w:t>
      </w:r>
      <w:proofErr w:type="spellEnd"/>
      <w:r w:rsidR="00DC087E" w:rsidRPr="00C600A9">
        <w:t xml:space="preserve">, </w:t>
      </w:r>
      <w:r w:rsidR="00DC087E" w:rsidRPr="00C600A9">
        <w:rPr>
          <w:rFonts w:ascii="Symbol" w:hAnsi="Symbol"/>
        </w:rPr>
        <w:t></w:t>
      </w:r>
      <w:r w:rsidR="00DC087E" w:rsidRPr="00C600A9">
        <w:t xml:space="preserve">log </w:t>
      </w:r>
      <w:proofErr w:type="spellStart"/>
      <w:r w:rsidR="00DC087E" w:rsidRPr="00C600A9">
        <w:t>K</w:t>
      </w:r>
      <w:r w:rsidR="00DC087E" w:rsidRPr="00C600A9">
        <w:rPr>
          <w:vertAlign w:val="subscript"/>
        </w:rPr>
        <w:t>w</w:t>
      </w:r>
      <w:r w:rsidR="00DC087E" w:rsidRPr="00C600A9">
        <w:rPr>
          <w:vertAlign w:val="superscript"/>
        </w:rPr>
        <w:t>IAM</w:t>
      </w:r>
      <w:proofErr w:type="spellEnd"/>
      <w:r w:rsidR="00DC087E" w:rsidRPr="00C600A9">
        <w:t>)</w:t>
      </w:r>
      <w:r w:rsidR="00533D31" w:rsidRPr="00C600A9">
        <w:t xml:space="preserve"> </w:t>
      </w:r>
      <w:r w:rsidR="00114A0E" w:rsidRPr="00C600A9">
        <w:t xml:space="preserve">and </w:t>
      </w:r>
      <w:r w:rsidR="005D633C" w:rsidRPr="00C600A9">
        <w:t>verify</w:t>
      </w:r>
      <w:r w:rsidR="00114A0E" w:rsidRPr="00C600A9">
        <w:t xml:space="preserve"> </w:t>
      </w:r>
      <w:r w:rsidR="00DC087E" w:rsidRPr="00C600A9">
        <w:t>their</w:t>
      </w:r>
      <w:r w:rsidR="00114A0E" w:rsidRPr="00C600A9">
        <w:t xml:space="preserve"> relationship</w:t>
      </w:r>
      <w:r w:rsidR="00CD6BDD" w:rsidRPr="00C600A9">
        <w:t xml:space="preserve"> with </w:t>
      </w:r>
      <w:r w:rsidR="00114A0E" w:rsidRPr="00C600A9">
        <w:t>passive permeability</w:t>
      </w:r>
      <w:r w:rsidRPr="00C600A9">
        <w:t xml:space="preserve">. </w:t>
      </w:r>
      <w:r w:rsidRPr="00BD25F0">
        <w:rPr>
          <w:b/>
        </w:rPr>
        <w:t>Methodolog</w:t>
      </w:r>
      <w:r w:rsidR="008756E6" w:rsidRPr="00BD25F0">
        <w:rPr>
          <w:b/>
        </w:rPr>
        <w:t>y</w:t>
      </w:r>
      <w:r w:rsidR="008756E6" w:rsidRPr="002F5728">
        <w:t xml:space="preserve">: </w:t>
      </w:r>
      <w:r w:rsidR="002F5728" w:rsidRPr="002F5728">
        <w:rPr>
          <w:i/>
        </w:rPr>
        <w:t>Experimental:</w:t>
      </w:r>
      <w:r w:rsidR="002F5728">
        <w:t xml:space="preserve"> </w:t>
      </w:r>
      <w:r w:rsidR="00823417" w:rsidRPr="00823417">
        <w:t xml:space="preserve">The </w:t>
      </w:r>
      <w:r w:rsidR="00823417">
        <w:t xml:space="preserve">RP-HPLC </w:t>
      </w:r>
      <w:r w:rsidR="00823417" w:rsidRPr="00823417">
        <w:t xml:space="preserve">analyses were performed with 20 mM ammonium/acetate at pH 7.0 </w:t>
      </w:r>
      <w:r w:rsidR="00823417">
        <w:t xml:space="preserve">in water or </w:t>
      </w:r>
      <w:r w:rsidR="00823417" w:rsidRPr="00823417">
        <w:t xml:space="preserve">in mixture with acetonitrile at various percentages. The stationary phase was IAM.PC.DD.2: its surface is formed by covalently bonding the membrane forming phospholipids to silica (Regis, 10cmx4.6cm 10um packing 300Å pore size). The flow rate was 1.0 ml/min. </w:t>
      </w:r>
      <w:r w:rsidR="002F5728" w:rsidRPr="002F5728">
        <w:rPr>
          <w:i/>
        </w:rPr>
        <w:t>Computational:</w:t>
      </w:r>
      <w:r w:rsidR="002F5728">
        <w:t xml:space="preserve"> </w:t>
      </w:r>
      <w:proofErr w:type="spellStart"/>
      <w:r w:rsidR="00BA5453" w:rsidRPr="00BA5453">
        <w:t>V</w:t>
      </w:r>
      <w:r w:rsidR="00045F69">
        <w:t>ol</w:t>
      </w:r>
      <w:r w:rsidR="00BA5453" w:rsidRPr="00BA5453">
        <w:t>S</w:t>
      </w:r>
      <w:r w:rsidR="00045F69">
        <w:t>urf</w:t>
      </w:r>
      <w:proofErr w:type="spellEnd"/>
      <w:r w:rsidR="00BA5453" w:rsidRPr="00BA5453">
        <w:t xml:space="preserve">+ </w:t>
      </w:r>
      <w:r w:rsidR="00361A65">
        <w:t xml:space="preserve">(Vs+) </w:t>
      </w:r>
      <w:bookmarkStart w:id="0" w:name="_GoBack"/>
      <w:bookmarkEnd w:id="0"/>
      <w:r w:rsidR="00045F69">
        <w:t xml:space="preserve">software </w:t>
      </w:r>
      <w:r w:rsidR="00BA5453" w:rsidRPr="00BA5453">
        <w:t xml:space="preserve">(version 1.0.7, http://www.moldiscovery.com) </w:t>
      </w:r>
      <w:r w:rsidR="00045F69">
        <w:t xml:space="preserve">was </w:t>
      </w:r>
      <w:r w:rsidR="00BA5453" w:rsidRPr="00BA5453">
        <w:t>us</w:t>
      </w:r>
      <w:r w:rsidR="00045F69">
        <w:t xml:space="preserve">ed </w:t>
      </w:r>
      <w:r w:rsidR="00BD25F0">
        <w:t xml:space="preserve">to generate PLS models </w:t>
      </w:r>
      <w:r w:rsidR="00045F69">
        <w:t>with</w:t>
      </w:r>
      <w:r w:rsidR="00BA5453" w:rsidRPr="00BA5453">
        <w:t xml:space="preserve"> default settings and four probes (OH2, DRY, N1, and O probes that mimic, respectively, water, hydrophobic, HBA, and HBD properties of the environment). </w:t>
      </w:r>
      <w:r w:rsidR="00045F69">
        <w:t xml:space="preserve">BR analysis was performed using an in-house software. </w:t>
      </w:r>
      <w:r w:rsidRPr="00BD25F0">
        <w:rPr>
          <w:b/>
        </w:rPr>
        <w:t>Findings</w:t>
      </w:r>
      <w:r w:rsidRPr="00BD25F0">
        <w:t>:</w:t>
      </w:r>
      <w:r w:rsidR="00045F69" w:rsidRPr="00BD25F0">
        <w:t xml:space="preserve"> </w:t>
      </w:r>
      <w:r w:rsidR="00045F69">
        <w:t xml:space="preserve">BR analysis showed that successful prediction of permeability using </w:t>
      </w:r>
      <w:r w:rsidR="00430856" w:rsidRPr="00114A0E">
        <w:t xml:space="preserve">log </w:t>
      </w:r>
      <w:proofErr w:type="spellStart"/>
      <w:r w:rsidR="00430856" w:rsidRPr="00114A0E">
        <w:t>K</w:t>
      </w:r>
      <w:r w:rsidR="00430856" w:rsidRPr="00114A0E">
        <w:rPr>
          <w:vertAlign w:val="subscript"/>
        </w:rPr>
        <w:t>w</w:t>
      </w:r>
      <w:r w:rsidR="00430856" w:rsidRPr="00114A0E">
        <w:rPr>
          <w:vertAlign w:val="superscript"/>
        </w:rPr>
        <w:t>IAM</w:t>
      </w:r>
      <w:proofErr w:type="spellEnd"/>
      <w:r w:rsidR="00045F69">
        <w:t xml:space="preserve"> alone is unlikely to occur but its combination with PSA can reasonably well predict PAMPA log </w:t>
      </w:r>
      <w:proofErr w:type="spellStart"/>
      <w:r w:rsidR="00045F69">
        <w:t>P</w:t>
      </w:r>
      <w:r w:rsidR="00045F69" w:rsidRPr="00430856">
        <w:rPr>
          <w:vertAlign w:val="subscript"/>
        </w:rPr>
        <w:t>eff</w:t>
      </w:r>
      <w:proofErr w:type="spellEnd"/>
      <w:r w:rsidR="00045F69">
        <w:t xml:space="preserve"> of neutral and ionized compounds. Conversely, </w:t>
      </w:r>
      <w:r w:rsidR="00045F69" w:rsidRPr="00045F69">
        <w:rPr>
          <w:rFonts w:ascii="Symbol" w:hAnsi="Symbol"/>
        </w:rPr>
        <w:t></w:t>
      </w:r>
      <w:r w:rsidR="00430856" w:rsidRPr="00114A0E">
        <w:t xml:space="preserve">log </w:t>
      </w:r>
      <w:proofErr w:type="spellStart"/>
      <w:r w:rsidR="00430856" w:rsidRPr="00114A0E">
        <w:t>K</w:t>
      </w:r>
      <w:r w:rsidR="00430856" w:rsidRPr="00114A0E">
        <w:rPr>
          <w:vertAlign w:val="subscript"/>
        </w:rPr>
        <w:t>w</w:t>
      </w:r>
      <w:r w:rsidR="00430856" w:rsidRPr="00114A0E">
        <w:rPr>
          <w:vertAlign w:val="superscript"/>
        </w:rPr>
        <w:t>IAM</w:t>
      </w:r>
      <w:proofErr w:type="spellEnd"/>
      <w:r w:rsidR="00045F69">
        <w:t xml:space="preserve"> </w:t>
      </w:r>
      <w:r w:rsidR="00BD25F0">
        <w:t xml:space="preserve">is a polarity descriptor and thus </w:t>
      </w:r>
      <w:r w:rsidR="00045F69">
        <w:t>plays a very relevant role in the prediction of cellular permeability</w:t>
      </w:r>
      <w:r>
        <w:t xml:space="preserve"> </w:t>
      </w:r>
      <w:r w:rsidRPr="00BD25F0">
        <w:rPr>
          <w:b/>
        </w:rPr>
        <w:t>Conclusion:</w:t>
      </w:r>
      <w:r>
        <w:t xml:space="preserve"> </w:t>
      </w:r>
      <w:r w:rsidR="00537589" w:rsidRPr="00537589">
        <w:t>IAM chromatography provides two descriptors (</w:t>
      </w:r>
      <w:r w:rsidR="00537589" w:rsidRPr="00114A0E">
        <w:t xml:space="preserve">log </w:t>
      </w:r>
      <w:proofErr w:type="spellStart"/>
      <w:r w:rsidR="00537589" w:rsidRPr="00114A0E">
        <w:t>K</w:t>
      </w:r>
      <w:r w:rsidR="00537589" w:rsidRPr="00114A0E">
        <w:rPr>
          <w:vertAlign w:val="subscript"/>
        </w:rPr>
        <w:t>w</w:t>
      </w:r>
      <w:r w:rsidR="00537589" w:rsidRPr="00114A0E">
        <w:rPr>
          <w:vertAlign w:val="superscript"/>
        </w:rPr>
        <w:t>IAM</w:t>
      </w:r>
      <w:proofErr w:type="spellEnd"/>
      <w:r w:rsidR="00537589">
        <w:t xml:space="preserve"> </w:t>
      </w:r>
      <w:r w:rsidR="00537589" w:rsidRPr="00537589">
        <w:t xml:space="preserve">and </w:t>
      </w:r>
      <w:r w:rsidR="00537589" w:rsidRPr="00045F69">
        <w:rPr>
          <w:rFonts w:ascii="Symbol" w:hAnsi="Symbol"/>
        </w:rPr>
        <w:t></w:t>
      </w:r>
      <w:r w:rsidR="00537589" w:rsidRPr="00114A0E">
        <w:t xml:space="preserve">log </w:t>
      </w:r>
      <w:proofErr w:type="spellStart"/>
      <w:r w:rsidR="00537589" w:rsidRPr="00114A0E">
        <w:t>K</w:t>
      </w:r>
      <w:r w:rsidR="00537589" w:rsidRPr="00114A0E">
        <w:rPr>
          <w:vertAlign w:val="subscript"/>
        </w:rPr>
        <w:t>w</w:t>
      </w:r>
      <w:r w:rsidR="00537589" w:rsidRPr="00114A0E">
        <w:rPr>
          <w:vertAlign w:val="superscript"/>
        </w:rPr>
        <w:t>IAM</w:t>
      </w:r>
      <w:proofErr w:type="spellEnd"/>
      <w:r w:rsidR="00537589" w:rsidRPr="00537589">
        <w:t>)</w:t>
      </w:r>
      <w:r w:rsidR="00537589">
        <w:t xml:space="preserve"> </w:t>
      </w:r>
      <w:r w:rsidR="00537589" w:rsidRPr="00537589">
        <w:t>of interest in the prediction of permeability</w:t>
      </w:r>
      <w:r w:rsidR="00537589">
        <w:t xml:space="preserve">, which is a crucial issue of any drug discovery project. </w:t>
      </w:r>
      <w:r w:rsidR="00FF3E4F">
        <w:t>Overall</w:t>
      </w:r>
      <w:r w:rsidR="00537589">
        <w:t xml:space="preserve">, </w:t>
      </w:r>
      <w:r w:rsidR="00FF3E4F">
        <w:t>this study highlights that, prior to their application to biological/toxicological topics</w:t>
      </w:r>
      <w:r w:rsidR="00537589">
        <w:t xml:space="preserve">, </w:t>
      </w:r>
      <w:r w:rsidR="00FF3E4F">
        <w:t xml:space="preserve">any chromatographic </w:t>
      </w:r>
      <w:r w:rsidR="00537589">
        <w:t xml:space="preserve">descriptor should be characterized for </w:t>
      </w:r>
      <w:r w:rsidR="00FF3E4F">
        <w:t>its</w:t>
      </w:r>
      <w:r w:rsidR="00537589">
        <w:t xml:space="preserve"> information content using a tool like BR analysis. </w:t>
      </w:r>
    </w:p>
    <w:p w:rsidR="00AE3E37" w:rsidRDefault="00A9710C">
      <w:pPr>
        <w:pStyle w:val="Titolo3"/>
        <w:spacing w:before="74"/>
      </w:pPr>
      <w:r>
        <w:rPr>
          <w:b w:val="0"/>
        </w:rPr>
        <w:br w:type="column"/>
      </w:r>
      <w:r>
        <w:rPr>
          <w:color w:val="BF5A14"/>
        </w:rPr>
        <w:t>Image</w:t>
      </w:r>
    </w:p>
    <w:p w:rsidR="00AE3E37" w:rsidRDefault="00811C48">
      <w:pPr>
        <w:pStyle w:val="Corpotesto"/>
        <w:spacing w:before="2"/>
        <w:rPr>
          <w:rFonts w:ascii="Arial"/>
          <w:b/>
          <w:sz w:val="16"/>
        </w:rPr>
      </w:pPr>
      <w:r w:rsidRPr="00811C48">
        <w:rPr>
          <w:noProof/>
        </w:rPr>
        <w:drawing>
          <wp:inline distT="0" distB="0" distL="0" distR="0">
            <wp:extent cx="3165475" cy="199674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99674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EA3F18" w:rsidRPr="001E3A6B" w:rsidRDefault="00EA3F18" w:rsidP="00EA3F18">
      <w:pPr>
        <w:pStyle w:val="Paragrafoelenco"/>
        <w:numPr>
          <w:ilvl w:val="0"/>
          <w:numId w:val="3"/>
        </w:numPr>
        <w:tabs>
          <w:tab w:val="left" w:pos="384"/>
        </w:tabs>
        <w:spacing w:line="216" w:lineRule="exact"/>
        <w:ind w:right="137"/>
        <w:rPr>
          <w:sz w:val="18"/>
        </w:rPr>
      </w:pPr>
      <w:r w:rsidRPr="001E3A6B">
        <w:rPr>
          <w:sz w:val="18"/>
        </w:rPr>
        <w:t>Ermondi</w:t>
      </w:r>
      <w:r w:rsidR="001E3A6B" w:rsidRPr="001E3A6B">
        <w:rPr>
          <w:sz w:val="18"/>
        </w:rPr>
        <w:t xml:space="preserve"> G, </w:t>
      </w:r>
      <w:r w:rsidRPr="001E3A6B">
        <w:rPr>
          <w:sz w:val="18"/>
        </w:rPr>
        <w:t>Caron</w:t>
      </w:r>
      <w:r w:rsidR="001E3A6B" w:rsidRPr="001E3A6B">
        <w:rPr>
          <w:sz w:val="18"/>
        </w:rPr>
        <w:t xml:space="preserve"> G</w:t>
      </w:r>
      <w:r w:rsidRPr="001E3A6B">
        <w:rPr>
          <w:sz w:val="18"/>
        </w:rPr>
        <w:t xml:space="preserve"> (2018)</w:t>
      </w:r>
      <w:r w:rsidR="001E3A6B" w:rsidRPr="001E3A6B">
        <w:rPr>
          <w:sz w:val="18"/>
        </w:rPr>
        <w:t>.</w:t>
      </w:r>
      <w:r w:rsidRPr="001E3A6B">
        <w:rPr>
          <w:sz w:val="18"/>
        </w:rPr>
        <w:t xml:space="preserve"> Block relevance (BR) analysis and polarity descriptors in property-based drug design, ADMET and DMPK, </w:t>
      </w:r>
      <w:proofErr w:type="spellStart"/>
      <w:r w:rsidRPr="001E3A6B">
        <w:rPr>
          <w:sz w:val="18"/>
        </w:rPr>
        <w:t>doi</w:t>
      </w:r>
      <w:proofErr w:type="spellEnd"/>
      <w:r w:rsidRPr="001E3A6B">
        <w:rPr>
          <w:sz w:val="18"/>
        </w:rPr>
        <w:t>: 10.5599/admet.532</w:t>
      </w:r>
    </w:p>
    <w:p w:rsidR="00BA5453" w:rsidRPr="001E3A6B" w:rsidRDefault="00BA5453" w:rsidP="00BA5453">
      <w:pPr>
        <w:pStyle w:val="Paragrafoelenco"/>
        <w:numPr>
          <w:ilvl w:val="0"/>
          <w:numId w:val="3"/>
        </w:numPr>
        <w:tabs>
          <w:tab w:val="left" w:pos="384"/>
        </w:tabs>
        <w:spacing w:before="103" w:line="216" w:lineRule="exact"/>
        <w:ind w:right="138"/>
        <w:rPr>
          <w:sz w:val="18"/>
        </w:rPr>
      </w:pPr>
      <w:proofErr w:type="spellStart"/>
      <w:r w:rsidRPr="001E3A6B">
        <w:rPr>
          <w:sz w:val="18"/>
          <w:lang w:val="it-IT"/>
        </w:rPr>
        <w:t>Ermondi</w:t>
      </w:r>
      <w:proofErr w:type="spellEnd"/>
      <w:r w:rsidR="001E3A6B" w:rsidRPr="001E3A6B">
        <w:rPr>
          <w:sz w:val="18"/>
          <w:lang w:val="it-IT"/>
        </w:rPr>
        <w:t xml:space="preserve"> G</w:t>
      </w:r>
      <w:r w:rsidRPr="001E3A6B">
        <w:rPr>
          <w:sz w:val="18"/>
          <w:lang w:val="it-IT"/>
        </w:rPr>
        <w:t xml:space="preserve">, </w:t>
      </w:r>
      <w:proofErr w:type="spellStart"/>
      <w:r w:rsidRPr="001E3A6B">
        <w:rPr>
          <w:sz w:val="18"/>
          <w:lang w:val="it-IT"/>
        </w:rPr>
        <w:t>Vallaro</w:t>
      </w:r>
      <w:proofErr w:type="spellEnd"/>
      <w:r w:rsidR="001E3A6B" w:rsidRPr="001E3A6B">
        <w:rPr>
          <w:sz w:val="18"/>
          <w:lang w:val="it-IT"/>
        </w:rPr>
        <w:t xml:space="preserve"> M</w:t>
      </w:r>
      <w:r w:rsidRPr="001E3A6B">
        <w:rPr>
          <w:sz w:val="18"/>
          <w:lang w:val="it-IT"/>
        </w:rPr>
        <w:t>, Caron</w:t>
      </w:r>
      <w:r w:rsidR="001E3A6B" w:rsidRPr="001E3A6B">
        <w:rPr>
          <w:sz w:val="18"/>
          <w:lang w:val="it-IT"/>
        </w:rPr>
        <w:t xml:space="preserve"> G</w:t>
      </w:r>
      <w:r w:rsidRPr="001E3A6B">
        <w:rPr>
          <w:sz w:val="18"/>
          <w:lang w:val="it-IT"/>
        </w:rPr>
        <w:t xml:space="preserve"> (2018)</w:t>
      </w:r>
      <w:r w:rsidR="001E3A6B" w:rsidRPr="001E3A6B">
        <w:rPr>
          <w:sz w:val="18"/>
          <w:lang w:val="it-IT"/>
        </w:rPr>
        <w:t>.</w:t>
      </w:r>
      <w:r w:rsidRPr="001E3A6B">
        <w:rPr>
          <w:sz w:val="18"/>
          <w:lang w:val="it-IT"/>
        </w:rPr>
        <w:t xml:space="preserve"> </w:t>
      </w:r>
      <w:r w:rsidRPr="001E3A6B">
        <w:rPr>
          <w:sz w:val="18"/>
        </w:rPr>
        <w:t xml:space="preserve">Learning how to use IAM chromatography for predicting permeability. </w:t>
      </w:r>
      <w:r w:rsidR="001E3A6B" w:rsidRPr="00C547B1">
        <w:rPr>
          <w:sz w:val="18"/>
        </w:rPr>
        <w:t>Eur</w:t>
      </w:r>
      <w:r w:rsidR="001E3A6B">
        <w:rPr>
          <w:sz w:val="18"/>
        </w:rPr>
        <w:t xml:space="preserve">opean </w:t>
      </w:r>
      <w:r w:rsidR="001E3A6B" w:rsidRPr="00C547B1">
        <w:rPr>
          <w:sz w:val="18"/>
        </w:rPr>
        <w:t>J</w:t>
      </w:r>
      <w:r w:rsidR="001E3A6B">
        <w:rPr>
          <w:sz w:val="18"/>
        </w:rPr>
        <w:t xml:space="preserve">ournal of </w:t>
      </w:r>
      <w:r w:rsidR="001E3A6B" w:rsidRPr="00C547B1">
        <w:rPr>
          <w:sz w:val="18"/>
        </w:rPr>
        <w:t>Pharm</w:t>
      </w:r>
      <w:r w:rsidR="001E3A6B">
        <w:rPr>
          <w:sz w:val="18"/>
        </w:rPr>
        <w:t xml:space="preserve">aceutical </w:t>
      </w:r>
      <w:r w:rsidR="001E3A6B" w:rsidRPr="00C547B1">
        <w:rPr>
          <w:sz w:val="18"/>
        </w:rPr>
        <w:t>Sci</w:t>
      </w:r>
      <w:r w:rsidR="001E3A6B">
        <w:rPr>
          <w:sz w:val="18"/>
        </w:rPr>
        <w:t>ences</w:t>
      </w:r>
      <w:r w:rsidRPr="001E3A6B">
        <w:rPr>
          <w:sz w:val="18"/>
        </w:rPr>
        <w:t>, 1</w:t>
      </w:r>
      <w:r w:rsidR="001E3A6B" w:rsidRPr="001E3A6B">
        <w:rPr>
          <w:sz w:val="18"/>
        </w:rPr>
        <w:t>1</w:t>
      </w:r>
      <w:r w:rsidRPr="001E3A6B">
        <w:rPr>
          <w:sz w:val="18"/>
        </w:rPr>
        <w:t>4</w:t>
      </w:r>
      <w:r w:rsidR="001E3A6B">
        <w:rPr>
          <w:sz w:val="18"/>
        </w:rPr>
        <w:t xml:space="preserve">: </w:t>
      </w:r>
      <w:r w:rsidRPr="001E3A6B">
        <w:rPr>
          <w:sz w:val="18"/>
        </w:rPr>
        <w:t>385-390.</w:t>
      </w:r>
    </w:p>
    <w:p w:rsidR="005973B9" w:rsidRDefault="00C547B1" w:rsidP="00C547B1">
      <w:pPr>
        <w:pStyle w:val="Paragrafoelenco"/>
        <w:numPr>
          <w:ilvl w:val="0"/>
          <w:numId w:val="3"/>
        </w:numPr>
        <w:tabs>
          <w:tab w:val="left" w:pos="384"/>
        </w:tabs>
        <w:spacing w:before="103" w:line="216" w:lineRule="exact"/>
        <w:ind w:right="138"/>
        <w:rPr>
          <w:sz w:val="18"/>
        </w:rPr>
      </w:pPr>
      <w:proofErr w:type="spellStart"/>
      <w:r w:rsidRPr="00C547B1">
        <w:rPr>
          <w:sz w:val="18"/>
        </w:rPr>
        <w:t>Ermondi</w:t>
      </w:r>
      <w:proofErr w:type="spellEnd"/>
      <w:r w:rsidR="004B48CC">
        <w:rPr>
          <w:sz w:val="18"/>
        </w:rPr>
        <w:t xml:space="preserve"> G</w:t>
      </w:r>
      <w:r w:rsidRPr="00C547B1">
        <w:rPr>
          <w:sz w:val="18"/>
        </w:rPr>
        <w:t xml:space="preserve">, </w:t>
      </w:r>
      <w:proofErr w:type="spellStart"/>
      <w:r w:rsidRPr="00C547B1">
        <w:rPr>
          <w:sz w:val="18"/>
        </w:rPr>
        <w:t>Vallaro</w:t>
      </w:r>
      <w:proofErr w:type="spellEnd"/>
      <w:r w:rsidR="004B48CC">
        <w:rPr>
          <w:sz w:val="18"/>
        </w:rPr>
        <w:t xml:space="preserve"> M</w:t>
      </w:r>
      <w:r w:rsidRPr="00C547B1">
        <w:rPr>
          <w:sz w:val="18"/>
        </w:rPr>
        <w:t>, Camacho Leal</w:t>
      </w:r>
      <w:r w:rsidR="004B48CC">
        <w:rPr>
          <w:sz w:val="18"/>
        </w:rPr>
        <w:t xml:space="preserve"> MP</w:t>
      </w:r>
      <w:r w:rsidRPr="00C547B1">
        <w:rPr>
          <w:sz w:val="18"/>
        </w:rPr>
        <w:t>, Potter</w:t>
      </w:r>
      <w:r w:rsidR="004B48CC">
        <w:rPr>
          <w:sz w:val="18"/>
        </w:rPr>
        <w:t xml:space="preserve"> T</w:t>
      </w:r>
      <w:r w:rsidRPr="00C547B1">
        <w:rPr>
          <w:sz w:val="18"/>
        </w:rPr>
        <w:t xml:space="preserve">, </w:t>
      </w:r>
      <w:proofErr w:type="spellStart"/>
      <w:r w:rsidRPr="00C547B1">
        <w:rPr>
          <w:sz w:val="18"/>
        </w:rPr>
        <w:t>Visentin</w:t>
      </w:r>
      <w:proofErr w:type="spellEnd"/>
      <w:r w:rsidR="004B48CC">
        <w:rPr>
          <w:sz w:val="18"/>
        </w:rPr>
        <w:t xml:space="preserve"> S,</w:t>
      </w:r>
      <w:r w:rsidRPr="00C547B1">
        <w:rPr>
          <w:sz w:val="18"/>
        </w:rPr>
        <w:t xml:space="preserve"> Caron </w:t>
      </w:r>
      <w:r w:rsidR="004B48CC">
        <w:rPr>
          <w:sz w:val="18"/>
        </w:rPr>
        <w:t xml:space="preserve">G </w:t>
      </w:r>
      <w:r w:rsidRPr="00C547B1">
        <w:rPr>
          <w:sz w:val="18"/>
        </w:rPr>
        <w:t>(2018)</w:t>
      </w:r>
      <w:r w:rsidR="004B48CC">
        <w:rPr>
          <w:sz w:val="18"/>
        </w:rPr>
        <w:t>.</w:t>
      </w:r>
      <w:r w:rsidRPr="00C547B1">
        <w:rPr>
          <w:sz w:val="18"/>
        </w:rPr>
        <w:t xml:space="preserve"> Charged cyclic hexapeptides: updating molecular descriptors for permeability purposes</w:t>
      </w:r>
      <w:r w:rsidR="004B48CC">
        <w:rPr>
          <w:sz w:val="18"/>
        </w:rPr>
        <w:t>.</w:t>
      </w:r>
      <w:r w:rsidRPr="00C547B1">
        <w:rPr>
          <w:sz w:val="18"/>
        </w:rPr>
        <w:t xml:space="preserve"> Eur</w:t>
      </w:r>
      <w:r w:rsidR="004B48CC">
        <w:rPr>
          <w:sz w:val="18"/>
        </w:rPr>
        <w:t xml:space="preserve">opean </w:t>
      </w:r>
      <w:r w:rsidRPr="00C547B1">
        <w:rPr>
          <w:sz w:val="18"/>
        </w:rPr>
        <w:t>J</w:t>
      </w:r>
      <w:r w:rsidR="004B48CC">
        <w:rPr>
          <w:sz w:val="18"/>
        </w:rPr>
        <w:t xml:space="preserve">ournal of </w:t>
      </w:r>
      <w:r w:rsidRPr="00C547B1">
        <w:rPr>
          <w:sz w:val="18"/>
        </w:rPr>
        <w:t>Pharm</w:t>
      </w:r>
      <w:r w:rsidR="004B48CC">
        <w:rPr>
          <w:sz w:val="18"/>
        </w:rPr>
        <w:t xml:space="preserve">aceutical </w:t>
      </w:r>
      <w:r w:rsidRPr="00C547B1">
        <w:rPr>
          <w:sz w:val="18"/>
        </w:rPr>
        <w:t>Sci</w:t>
      </w:r>
      <w:r w:rsidR="004B48CC">
        <w:rPr>
          <w:sz w:val="18"/>
        </w:rPr>
        <w:t>ences</w:t>
      </w:r>
      <w:r w:rsidRPr="00C547B1">
        <w:rPr>
          <w:sz w:val="18"/>
        </w:rPr>
        <w:t xml:space="preserve"> 122</w:t>
      </w:r>
      <w:r w:rsidR="004B48CC">
        <w:rPr>
          <w:sz w:val="18"/>
        </w:rPr>
        <w:t>:</w:t>
      </w:r>
      <w:r w:rsidRPr="00C547B1">
        <w:rPr>
          <w:sz w:val="18"/>
        </w:rPr>
        <w:t xml:space="preserve"> 85-93.</w:t>
      </w:r>
    </w:p>
    <w:p w:rsidR="005973B9" w:rsidRPr="001E3A6B" w:rsidRDefault="002E4470" w:rsidP="002E4470">
      <w:pPr>
        <w:pStyle w:val="Paragrafoelenco"/>
        <w:numPr>
          <w:ilvl w:val="0"/>
          <w:numId w:val="3"/>
        </w:numPr>
        <w:tabs>
          <w:tab w:val="left" w:pos="384"/>
        </w:tabs>
        <w:spacing w:line="216" w:lineRule="exact"/>
        <w:ind w:right="138"/>
        <w:rPr>
          <w:sz w:val="18"/>
        </w:rPr>
      </w:pPr>
      <w:r w:rsidRPr="001E3A6B">
        <w:rPr>
          <w:sz w:val="18"/>
        </w:rPr>
        <w:t>Goetz</w:t>
      </w:r>
      <w:r w:rsidR="001E3A6B" w:rsidRPr="001E3A6B">
        <w:rPr>
          <w:sz w:val="18"/>
        </w:rPr>
        <w:t xml:space="preserve"> G,</w:t>
      </w:r>
      <w:r w:rsidRPr="001E3A6B">
        <w:rPr>
          <w:sz w:val="18"/>
        </w:rPr>
        <w:t xml:space="preserve"> </w:t>
      </w:r>
      <w:proofErr w:type="spellStart"/>
      <w:r w:rsidRPr="001E3A6B">
        <w:rPr>
          <w:sz w:val="18"/>
        </w:rPr>
        <w:t>Shalaeva</w:t>
      </w:r>
      <w:proofErr w:type="spellEnd"/>
      <w:r w:rsidR="001E3A6B" w:rsidRPr="001E3A6B">
        <w:rPr>
          <w:sz w:val="18"/>
        </w:rPr>
        <w:t xml:space="preserve"> M,</w:t>
      </w:r>
      <w:r w:rsidRPr="001E3A6B">
        <w:rPr>
          <w:sz w:val="18"/>
        </w:rPr>
        <w:t xml:space="preserve"> Caron</w:t>
      </w:r>
      <w:r w:rsidR="001E3A6B" w:rsidRPr="001E3A6B">
        <w:rPr>
          <w:sz w:val="18"/>
        </w:rPr>
        <w:t xml:space="preserve"> G</w:t>
      </w:r>
      <w:r w:rsidRPr="001E3A6B">
        <w:rPr>
          <w:sz w:val="18"/>
        </w:rPr>
        <w:t>, Ermondi</w:t>
      </w:r>
      <w:r w:rsidR="001E3A6B" w:rsidRPr="001E3A6B">
        <w:rPr>
          <w:sz w:val="18"/>
        </w:rPr>
        <w:t xml:space="preserve"> G</w:t>
      </w:r>
      <w:r w:rsidRPr="001E3A6B">
        <w:rPr>
          <w:sz w:val="18"/>
        </w:rPr>
        <w:t xml:space="preserve">, Philippe </w:t>
      </w:r>
      <w:r w:rsidR="001E3A6B" w:rsidRPr="001E3A6B">
        <w:rPr>
          <w:sz w:val="18"/>
        </w:rPr>
        <w:t xml:space="preserve">L </w:t>
      </w:r>
      <w:r w:rsidRPr="001E3A6B">
        <w:rPr>
          <w:sz w:val="18"/>
        </w:rPr>
        <w:t>(2017)</w:t>
      </w:r>
      <w:r w:rsidR="001E3A6B" w:rsidRPr="001E3A6B">
        <w:rPr>
          <w:sz w:val="18"/>
        </w:rPr>
        <w:t>.</w:t>
      </w:r>
      <w:r w:rsidRPr="001E3A6B">
        <w:rPr>
          <w:sz w:val="18"/>
        </w:rPr>
        <w:t xml:space="preserve"> Relating passive permeability to molecular polarity using Block Relevance analysis. Mol</w:t>
      </w:r>
      <w:r w:rsidR="001E3A6B" w:rsidRPr="001E3A6B">
        <w:rPr>
          <w:sz w:val="18"/>
        </w:rPr>
        <w:t>ecular</w:t>
      </w:r>
      <w:r w:rsidRPr="001E3A6B">
        <w:rPr>
          <w:sz w:val="18"/>
        </w:rPr>
        <w:t xml:space="preserve"> Pharmaceut</w:t>
      </w:r>
      <w:r w:rsidR="001E3A6B" w:rsidRPr="001E3A6B">
        <w:rPr>
          <w:sz w:val="18"/>
        </w:rPr>
        <w:t>ics</w:t>
      </w:r>
      <w:r w:rsidRPr="001E3A6B">
        <w:rPr>
          <w:sz w:val="18"/>
        </w:rPr>
        <w:t xml:space="preserve"> 14</w:t>
      </w:r>
      <w:r w:rsidR="001E3A6B" w:rsidRPr="001E3A6B">
        <w:rPr>
          <w:sz w:val="18"/>
        </w:rPr>
        <w:t xml:space="preserve">: </w:t>
      </w:r>
      <w:r w:rsidRPr="001E3A6B">
        <w:rPr>
          <w:sz w:val="18"/>
        </w:rPr>
        <w:t>386-393</w:t>
      </w:r>
      <w:r w:rsidR="005973B9" w:rsidRPr="001E3A6B">
        <w:rPr>
          <w:sz w:val="18"/>
        </w:rPr>
        <w:t>.</w:t>
      </w:r>
    </w:p>
    <w:p w:rsidR="005973B9" w:rsidRPr="001E3A6B" w:rsidRDefault="0028761F" w:rsidP="0028761F">
      <w:pPr>
        <w:pStyle w:val="Corpotesto"/>
        <w:numPr>
          <w:ilvl w:val="0"/>
          <w:numId w:val="3"/>
        </w:numPr>
        <w:spacing w:before="85" w:line="216" w:lineRule="exact"/>
        <w:ind w:right="138"/>
        <w:jc w:val="both"/>
        <w:rPr>
          <w:rFonts w:ascii="Calibri" w:hAnsi="Calibri"/>
        </w:rPr>
      </w:pPr>
      <w:proofErr w:type="spellStart"/>
      <w:r w:rsidRPr="001E3A6B">
        <w:rPr>
          <w:rFonts w:ascii="Calibri" w:hAnsi="Calibri"/>
        </w:rPr>
        <w:t>Valko</w:t>
      </w:r>
      <w:proofErr w:type="spellEnd"/>
      <w:r w:rsidRPr="001E3A6B">
        <w:rPr>
          <w:rFonts w:ascii="Calibri" w:hAnsi="Calibri"/>
        </w:rPr>
        <w:t xml:space="preserve"> KL </w:t>
      </w:r>
      <w:r w:rsidR="001E3A6B" w:rsidRPr="001E3A6B">
        <w:rPr>
          <w:rFonts w:ascii="Calibri" w:hAnsi="Calibri"/>
        </w:rPr>
        <w:t>(</w:t>
      </w:r>
      <w:r w:rsidRPr="001E3A6B">
        <w:rPr>
          <w:rFonts w:ascii="Calibri" w:hAnsi="Calibri"/>
        </w:rPr>
        <w:t>2016</w:t>
      </w:r>
      <w:r w:rsidR="001E3A6B" w:rsidRPr="001E3A6B">
        <w:rPr>
          <w:rFonts w:ascii="Calibri" w:hAnsi="Calibri"/>
        </w:rPr>
        <w:t>)</w:t>
      </w:r>
      <w:r w:rsidRPr="001E3A6B">
        <w:rPr>
          <w:rFonts w:ascii="Calibri" w:hAnsi="Calibri"/>
        </w:rPr>
        <w:t>. Lipophilicity and biomimetic properties measured by HPLC to support drug discovery. J</w:t>
      </w:r>
      <w:r w:rsidR="001E3A6B" w:rsidRPr="001E3A6B">
        <w:rPr>
          <w:rFonts w:ascii="Calibri" w:hAnsi="Calibri"/>
        </w:rPr>
        <w:t>ournal of</w:t>
      </w:r>
      <w:r w:rsidRPr="001E3A6B">
        <w:rPr>
          <w:rFonts w:ascii="Calibri" w:hAnsi="Calibri"/>
        </w:rPr>
        <w:t xml:space="preserve"> Pharm</w:t>
      </w:r>
      <w:r w:rsidR="001E3A6B" w:rsidRPr="001E3A6B">
        <w:rPr>
          <w:rFonts w:ascii="Calibri" w:hAnsi="Calibri"/>
        </w:rPr>
        <w:t>aceutical and</w:t>
      </w:r>
      <w:r w:rsidRPr="001E3A6B">
        <w:rPr>
          <w:rFonts w:ascii="Calibri" w:hAnsi="Calibri"/>
        </w:rPr>
        <w:t xml:space="preserve"> Biomed</w:t>
      </w:r>
      <w:r w:rsidR="001E3A6B" w:rsidRPr="001E3A6B">
        <w:rPr>
          <w:rFonts w:ascii="Calibri" w:hAnsi="Calibri"/>
        </w:rPr>
        <w:t>ical</w:t>
      </w:r>
      <w:r w:rsidRPr="001E3A6B">
        <w:rPr>
          <w:rFonts w:ascii="Calibri" w:hAnsi="Calibri"/>
        </w:rPr>
        <w:t xml:space="preserve"> Anal</w:t>
      </w:r>
      <w:r w:rsidR="001E3A6B" w:rsidRPr="001E3A6B">
        <w:rPr>
          <w:rFonts w:ascii="Calibri" w:hAnsi="Calibri"/>
        </w:rPr>
        <w:t>ysis</w:t>
      </w:r>
      <w:r w:rsidRPr="001E3A6B">
        <w:rPr>
          <w:rFonts w:ascii="Calibri" w:hAnsi="Calibri"/>
        </w:rPr>
        <w:t xml:space="preserve"> 130</w:t>
      </w:r>
      <w:r w:rsidR="001E3A6B" w:rsidRPr="001E3A6B">
        <w:rPr>
          <w:rFonts w:ascii="Calibri" w:hAnsi="Calibri"/>
        </w:rPr>
        <w:t>:</w:t>
      </w:r>
      <w:r w:rsidRPr="001E3A6B">
        <w:rPr>
          <w:rFonts w:ascii="Calibri" w:hAnsi="Calibri"/>
        </w:rPr>
        <w:t xml:space="preserve"> 35–54.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3D02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561D4" w:rsidRPr="006561D4">
        <w:rPr>
          <w:noProof/>
        </w:rPr>
        <w:drawing>
          <wp:inline distT="0" distB="0" distL="0" distR="0">
            <wp:extent cx="496800" cy="5364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6800" cy="536400"/>
                    </a:xfrm>
                    <a:prstGeom prst="rect">
                      <a:avLst/>
                    </a:prstGeom>
                    <a:noFill/>
                    <a:ln>
                      <a:noFill/>
                    </a:ln>
                  </pic:spPr>
                </pic:pic>
              </a:graphicData>
            </a:graphic>
          </wp:inline>
        </w:drawing>
      </w:r>
      <w:r w:rsidR="00A9710C">
        <w:rPr>
          <w:rFonts w:ascii="Arial"/>
          <w:color w:val="BF5A14"/>
        </w:rPr>
        <w:t>Biography</w:t>
      </w:r>
    </w:p>
    <w:p w:rsidR="00AE3E37" w:rsidRDefault="006073CB">
      <w:pPr>
        <w:spacing w:before="41" w:line="154" w:lineRule="exact"/>
        <w:ind w:left="213" w:right="231"/>
        <w:jc w:val="both"/>
        <w:rPr>
          <w:rFonts w:ascii="Arial"/>
          <w:sz w:val="14"/>
        </w:rPr>
      </w:pPr>
      <w:r>
        <w:rPr>
          <w:rFonts w:ascii="Arial"/>
          <w:sz w:val="14"/>
        </w:rPr>
        <w:t>Giulia Caron</w:t>
      </w:r>
      <w:r>
        <w:rPr>
          <w:rFonts w:ascii="Arial"/>
          <w:sz w:val="14"/>
        </w:rPr>
        <w:t>’</w:t>
      </w:r>
      <w:r>
        <w:rPr>
          <w:rFonts w:ascii="Arial"/>
          <w:sz w:val="14"/>
        </w:rPr>
        <w:t>s</w:t>
      </w:r>
      <w:r w:rsidRPr="006073CB">
        <w:rPr>
          <w:rFonts w:ascii="Arial"/>
          <w:sz w:val="14"/>
        </w:rPr>
        <w:t xml:space="preserve"> primary scientific activity was lipophilicity, then she moved to the design, experimental determination and computational prediction of physicochemical properties related to ADME properties and to permeability measurements. The integration of Intramolecular Hydrogen Bonding (IMHB) considerations in drug design and the development and application of a tool named Block Relevance (BR) analysis to provide a mechanistic interpretation of QSAR/QSPR models based on the PLS algorithm are two of her main field of interest. To fit new drug discovery exigences she is now focusing on defining a set of experimental and in silico tools for molecular properties evaluation in the bRo5 chemical space</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2A319B" w:rsidRPr="00DE43CF">
          <w:rPr>
            <w:rStyle w:val="Collegamentoipertestuale"/>
            <w:rFonts w:ascii="Arial"/>
            <w:sz w:val="14"/>
          </w:rPr>
          <w:t>giulia.caron@unito.it</w:t>
        </w:r>
      </w:hyperlink>
    </w:p>
    <w:p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2DC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218" w:rsidRDefault="003E0218">
      <w:r>
        <w:separator/>
      </w:r>
    </w:p>
  </w:endnote>
  <w:endnote w:type="continuationSeparator" w:id="0">
    <w:p w:rsidR="003E0218" w:rsidRDefault="003E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218" w:rsidRDefault="003E0218">
      <w:r>
        <w:separator/>
      </w:r>
    </w:p>
  </w:footnote>
  <w:footnote w:type="continuationSeparator" w:id="0">
    <w:p w:rsidR="003E0218" w:rsidRDefault="003E0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1"/>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5F69"/>
    <w:rsid w:val="00060541"/>
    <w:rsid w:val="000E2911"/>
    <w:rsid w:val="00114A0E"/>
    <w:rsid w:val="001263DF"/>
    <w:rsid w:val="00165788"/>
    <w:rsid w:val="0018261D"/>
    <w:rsid w:val="001E3A6B"/>
    <w:rsid w:val="00220F50"/>
    <w:rsid w:val="0028761F"/>
    <w:rsid w:val="00292ED9"/>
    <w:rsid w:val="002A0894"/>
    <w:rsid w:val="002A319B"/>
    <w:rsid w:val="002E4470"/>
    <w:rsid w:val="002F5728"/>
    <w:rsid w:val="00361A65"/>
    <w:rsid w:val="003E0218"/>
    <w:rsid w:val="00404E5B"/>
    <w:rsid w:val="00414F7B"/>
    <w:rsid w:val="00430856"/>
    <w:rsid w:val="004355DC"/>
    <w:rsid w:val="004472DD"/>
    <w:rsid w:val="004749B4"/>
    <w:rsid w:val="00494130"/>
    <w:rsid w:val="004B48CC"/>
    <w:rsid w:val="004C106E"/>
    <w:rsid w:val="004C3D4A"/>
    <w:rsid w:val="004D29D6"/>
    <w:rsid w:val="004D6314"/>
    <w:rsid w:val="004F3523"/>
    <w:rsid w:val="00533D31"/>
    <w:rsid w:val="00537589"/>
    <w:rsid w:val="005576BE"/>
    <w:rsid w:val="005973B9"/>
    <w:rsid w:val="005B3A56"/>
    <w:rsid w:val="005D633C"/>
    <w:rsid w:val="00605BE9"/>
    <w:rsid w:val="006060CE"/>
    <w:rsid w:val="006073CB"/>
    <w:rsid w:val="00634621"/>
    <w:rsid w:val="0063497F"/>
    <w:rsid w:val="00642F01"/>
    <w:rsid w:val="006561D4"/>
    <w:rsid w:val="006612BE"/>
    <w:rsid w:val="0071073B"/>
    <w:rsid w:val="007B3B57"/>
    <w:rsid w:val="00811C48"/>
    <w:rsid w:val="00823417"/>
    <w:rsid w:val="00873DF0"/>
    <w:rsid w:val="008756E6"/>
    <w:rsid w:val="009419DA"/>
    <w:rsid w:val="0098750D"/>
    <w:rsid w:val="009B2D44"/>
    <w:rsid w:val="009E26A6"/>
    <w:rsid w:val="00A07E82"/>
    <w:rsid w:val="00A13C97"/>
    <w:rsid w:val="00A9710C"/>
    <w:rsid w:val="00AE3E37"/>
    <w:rsid w:val="00B21A57"/>
    <w:rsid w:val="00BA5453"/>
    <w:rsid w:val="00BD25F0"/>
    <w:rsid w:val="00BE39A8"/>
    <w:rsid w:val="00C33602"/>
    <w:rsid w:val="00C427A1"/>
    <w:rsid w:val="00C547B1"/>
    <w:rsid w:val="00C600A9"/>
    <w:rsid w:val="00C63278"/>
    <w:rsid w:val="00C81307"/>
    <w:rsid w:val="00CB1DDE"/>
    <w:rsid w:val="00CD6BDD"/>
    <w:rsid w:val="00CD6F55"/>
    <w:rsid w:val="00CE5597"/>
    <w:rsid w:val="00CE6C78"/>
    <w:rsid w:val="00D0587B"/>
    <w:rsid w:val="00D90B4C"/>
    <w:rsid w:val="00DA16A6"/>
    <w:rsid w:val="00DC087E"/>
    <w:rsid w:val="00DE3104"/>
    <w:rsid w:val="00DE6AB9"/>
    <w:rsid w:val="00E32EB5"/>
    <w:rsid w:val="00E93E71"/>
    <w:rsid w:val="00EA3F18"/>
    <w:rsid w:val="00F72EEA"/>
    <w:rsid w:val="00F84CAE"/>
    <w:rsid w:val="00FB5BE3"/>
    <w:rsid w:val="00FE3AF7"/>
    <w:rsid w:val="00FF3E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C8ECF"/>
  <w15:docId w15:val="{71E60A3E-C4D4-4928-9E12-A3FD2D9D9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060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iulia.caron@unito.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F0561-A69D-4A87-8A12-8B704064C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601</Words>
  <Characters>3430</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Giulia Caron</cp:lastModifiedBy>
  <cp:revision>7</cp:revision>
  <dcterms:created xsi:type="dcterms:W3CDTF">2018-08-24T07:48:00Z</dcterms:created>
  <dcterms:modified xsi:type="dcterms:W3CDTF">2018-08-24T08:51:00Z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http://www.zotero.org/styles/acs-medicinal-chemistry-letters</vt:lpwstr>
  </property>
  <property fmtid="{D5CDD505-2E9C-101B-9397-08002B2CF9AE}" pid="6" name="Mendeley Recent Style Name 0_1">
    <vt:lpwstr>ACS Medicinal Chemistry Letters</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http://www.zotero.org/styles/journal-of-medicinal-chemistry</vt:lpwstr>
  </property>
  <property fmtid="{D5CDD505-2E9C-101B-9397-08002B2CF9AE}" pid="18" name="Mendeley Recent Style Name 6_1">
    <vt:lpwstr>Journal of Medicinal Chemistry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