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C4E" w:rsidRPr="00E11C4E" w:rsidRDefault="00E11C4E" w:rsidP="00E11C4E">
      <w:pPr>
        <w:rPr>
          <w:rFonts w:ascii="Minion Pro" w:eastAsia="Minion Pro" w:hAnsi="Minion Pro" w:cs="Minion Pro"/>
          <w:b/>
          <w:bCs/>
          <w:color w:val="337AB7"/>
          <w:sz w:val="36"/>
          <w:szCs w:val="36"/>
        </w:rPr>
      </w:pPr>
      <w:r w:rsidRPr="00E11C4E">
        <w:rPr>
          <w:rFonts w:ascii="Minion Pro" w:eastAsia="Minion Pro" w:hAnsi="Minion Pro" w:cs="Minion Pro"/>
          <w:b/>
          <w:bCs/>
          <w:color w:val="337AB7"/>
          <w:sz w:val="36"/>
          <w:szCs w:val="36"/>
        </w:rPr>
        <w:t>Waterborne metabolites as indicator</w:t>
      </w:r>
      <w:r w:rsidR="00EA58D0">
        <w:rPr>
          <w:rFonts w:ascii="Minion Pro" w:eastAsia="Minion Pro" w:hAnsi="Minion Pro" w:cs="Minion Pro"/>
          <w:b/>
          <w:bCs/>
          <w:color w:val="337AB7"/>
          <w:sz w:val="36"/>
          <w:szCs w:val="36"/>
        </w:rPr>
        <w:t>s</w:t>
      </w:r>
      <w:r w:rsidRPr="00E11C4E">
        <w:rPr>
          <w:rFonts w:ascii="Minion Pro" w:eastAsia="Minion Pro" w:hAnsi="Minion Pro" w:cs="Minion Pro"/>
          <w:b/>
          <w:bCs/>
          <w:color w:val="337AB7"/>
          <w:sz w:val="36"/>
          <w:szCs w:val="36"/>
        </w:rPr>
        <w:t xml:space="preserve"> to the growth phases of macroalga </w:t>
      </w:r>
      <w:r w:rsidRPr="000F7850">
        <w:rPr>
          <w:rFonts w:ascii="Minion Pro" w:eastAsia="Minion Pro" w:hAnsi="Minion Pro" w:cs="Minion Pro"/>
          <w:b/>
          <w:bCs/>
          <w:i/>
          <w:color w:val="337AB7"/>
          <w:sz w:val="36"/>
          <w:szCs w:val="36"/>
        </w:rPr>
        <w:t>Ulva</w:t>
      </w:r>
      <w:r w:rsidRPr="00E11C4E">
        <w:rPr>
          <w:rFonts w:ascii="Minion Pro" w:eastAsia="Minion Pro" w:hAnsi="Minion Pro" w:cs="Minion Pro"/>
          <w:b/>
          <w:bCs/>
          <w:color w:val="337AB7"/>
          <w:sz w:val="36"/>
          <w:szCs w:val="36"/>
        </w:rPr>
        <w:t xml:space="preserve"> (Chlorophyta) in aquacultures</w:t>
      </w:r>
    </w:p>
    <w:p w:rsidR="00E11C4E" w:rsidRDefault="00E11C4E" w:rsidP="005973B9">
      <w:pPr>
        <w:pStyle w:val="BodyText"/>
        <w:spacing w:before="73" w:line="198" w:lineRule="exact"/>
        <w:ind w:left="100" w:right="5987"/>
        <w:rPr>
          <w:rFonts w:ascii="Arial"/>
        </w:rPr>
      </w:pPr>
    </w:p>
    <w:p w:rsidR="00E11C4E" w:rsidRDefault="00E11C4E" w:rsidP="005973B9">
      <w:pPr>
        <w:pStyle w:val="BodyText"/>
        <w:spacing w:before="73" w:line="198" w:lineRule="exact"/>
        <w:ind w:left="100" w:right="5987"/>
        <w:rPr>
          <w:rFonts w:ascii="Arial"/>
        </w:rPr>
      </w:pPr>
      <w:r>
        <w:rPr>
          <w:rFonts w:ascii="Arial"/>
        </w:rPr>
        <w:t>Taghreed Alsufyani</w:t>
      </w:r>
      <w:r w:rsidR="005973B9">
        <w:rPr>
          <w:rFonts w:ascii="Arial"/>
        </w:rPr>
        <w:t xml:space="preserve">, </w:t>
      </w:r>
      <w:r>
        <w:rPr>
          <w:rFonts w:ascii="Arial"/>
        </w:rPr>
        <w:t>Assistance Professor, Taif University, KSA</w:t>
      </w:r>
    </w:p>
    <w:p w:rsidR="005973B9" w:rsidRDefault="00E11C4E" w:rsidP="005973B9">
      <w:pPr>
        <w:pStyle w:val="BodyText"/>
        <w:spacing w:before="73" w:line="198" w:lineRule="exact"/>
        <w:ind w:left="100" w:right="5987"/>
        <w:rPr>
          <w:rFonts w:ascii="Arial"/>
        </w:rPr>
      </w:pPr>
      <w:r>
        <w:rPr>
          <w:rFonts w:ascii="Arial"/>
        </w:rPr>
        <w:t>Thomas Wichard</w:t>
      </w:r>
      <w:r w:rsidR="005973B9">
        <w:rPr>
          <w:rFonts w:ascii="Arial"/>
        </w:rPr>
        <w:t xml:space="preserve">, </w:t>
      </w:r>
      <w:r>
        <w:rPr>
          <w:rFonts w:ascii="Arial"/>
        </w:rPr>
        <w:t>Associated Professor, FSU, Germany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E11C4E" w:rsidRPr="00E11C4E" w:rsidRDefault="005A338C" w:rsidP="00092C2A">
      <w:pPr>
        <w:jc w:val="both"/>
        <w:rPr>
          <w:sz w:val="18"/>
          <w:szCs w:val="18"/>
        </w:rPr>
      </w:pPr>
      <w:r>
        <w:rPr>
          <w:noProof/>
          <w:lang w:val="de-DE" w:eastAsia="de-DE"/>
        </w:rPr>
        <w:pict>
          <v:rect id="_x0000_s1029" style="position:absolute;left:0;text-align:left;margin-left:261.05pt;margin-top:251.7pt;width:67.95pt;height:25.9pt;z-index:251658240" stroked="f">
            <v:textbox>
              <w:txbxContent>
                <w:p w:rsidR="005A338C" w:rsidRPr="00D93D67" w:rsidRDefault="00D93D67" w:rsidP="005A338C">
                  <w:pPr>
                    <w:jc w:val="center"/>
                    <w:rPr>
                      <w:sz w:val="12"/>
                      <w:szCs w:val="12"/>
                    </w:rPr>
                  </w:pPr>
                  <w:r w:rsidRPr="00D93D67">
                    <w:rPr>
                      <w:sz w:val="12"/>
                      <w:szCs w:val="12"/>
                    </w:rPr>
                    <w:t xml:space="preserve">d: </w:t>
                  </w:r>
                  <w:r w:rsidR="005A338C" w:rsidRPr="00D93D67">
                    <w:rPr>
                      <w:sz w:val="12"/>
                      <w:szCs w:val="12"/>
                    </w:rPr>
                    <w:t>CAP of GC-MS analysis</w:t>
                  </w:r>
                </w:p>
              </w:txbxContent>
            </v:textbox>
          </v:rect>
        </w:pict>
      </w:r>
      <w:r w:rsidR="00E11C4E" w:rsidRPr="00E11C4E">
        <w:rPr>
          <w:sz w:val="18"/>
          <w:szCs w:val="18"/>
        </w:rPr>
        <w:t>Field experiments usually give ecologically relevant results contributing to understand the ecosystem deeply. In marine research, aquacultures are one of the most popular procedures used to carry out field experiments</w:t>
      </w:r>
      <w:r w:rsidR="00962650">
        <w:rPr>
          <w:sz w:val="18"/>
          <w:szCs w:val="18"/>
        </w:rPr>
        <w:t xml:space="preserve"> (fig. a)</w:t>
      </w:r>
      <w:r w:rsidR="00E11C4E" w:rsidRPr="00E11C4E">
        <w:rPr>
          <w:sz w:val="18"/>
          <w:szCs w:val="18"/>
        </w:rPr>
        <w:t xml:space="preserve">. In this study, the aquaculture of the green macroalga Ulva mutabilis was inoculated for the first time with freshly induced gametes (7-day old germlings) to culture large volume (200 L) with small axenic gametes. Two sets of aquaculture: defined community (inoculated with axenic gametes of </w:t>
      </w:r>
      <w:r w:rsidR="00E11C4E" w:rsidRPr="008F0C59">
        <w:rPr>
          <w:i/>
          <w:sz w:val="18"/>
          <w:szCs w:val="18"/>
        </w:rPr>
        <w:t>U. mutabilis</w:t>
      </w:r>
      <w:r w:rsidR="00E11C4E" w:rsidRPr="00E11C4E">
        <w:rPr>
          <w:sz w:val="18"/>
          <w:szCs w:val="18"/>
        </w:rPr>
        <w:t xml:space="preserve"> an</w:t>
      </w:r>
      <w:r w:rsidR="00092C2A">
        <w:rPr>
          <w:sz w:val="18"/>
          <w:szCs w:val="18"/>
        </w:rPr>
        <w:t>d two associated bacteria</w:t>
      </w:r>
      <w:r w:rsidR="00E11C4E" w:rsidRPr="00E11C4E">
        <w:rPr>
          <w:sz w:val="18"/>
          <w:szCs w:val="18"/>
        </w:rPr>
        <w:t xml:space="preserve">: </w:t>
      </w:r>
      <w:r w:rsidR="00E11C4E" w:rsidRPr="00962650">
        <w:rPr>
          <w:i/>
          <w:sz w:val="18"/>
          <w:szCs w:val="18"/>
        </w:rPr>
        <w:t>Roseovarius</w:t>
      </w:r>
      <w:r w:rsidR="00E11C4E" w:rsidRPr="00E11C4E">
        <w:rPr>
          <w:sz w:val="18"/>
          <w:szCs w:val="18"/>
        </w:rPr>
        <w:t xml:space="preserve"> sp. strain MS2. and </w:t>
      </w:r>
      <w:r w:rsidR="00E11C4E" w:rsidRPr="00962650">
        <w:rPr>
          <w:i/>
          <w:sz w:val="18"/>
          <w:szCs w:val="18"/>
        </w:rPr>
        <w:t>Maribacter</w:t>
      </w:r>
      <w:r w:rsidR="00E11C4E" w:rsidRPr="00E11C4E">
        <w:rPr>
          <w:sz w:val="18"/>
          <w:szCs w:val="18"/>
        </w:rPr>
        <w:t xml:space="preserve"> sp. strain MS6), and undefined community (in</w:t>
      </w:r>
      <w:r w:rsidR="00092C2A">
        <w:rPr>
          <w:sz w:val="18"/>
          <w:szCs w:val="18"/>
        </w:rPr>
        <w:t>o</w:t>
      </w:r>
      <w:r w:rsidR="00E11C4E" w:rsidRPr="00E11C4E">
        <w:rPr>
          <w:sz w:val="18"/>
          <w:szCs w:val="18"/>
        </w:rPr>
        <w:t xml:space="preserve">culated of </w:t>
      </w:r>
      <w:r w:rsidR="00092C2A" w:rsidRPr="008F0C59">
        <w:rPr>
          <w:i/>
          <w:sz w:val="18"/>
          <w:szCs w:val="18"/>
        </w:rPr>
        <w:t>U. mutabilis</w:t>
      </w:r>
      <w:r w:rsidR="00092C2A" w:rsidRPr="00E11C4E">
        <w:rPr>
          <w:sz w:val="18"/>
          <w:szCs w:val="18"/>
        </w:rPr>
        <w:t xml:space="preserve"> </w:t>
      </w:r>
      <w:r w:rsidR="00E11C4E" w:rsidRPr="00E11C4E">
        <w:rPr>
          <w:sz w:val="18"/>
          <w:szCs w:val="18"/>
        </w:rPr>
        <w:t>axenic game</w:t>
      </w:r>
      <w:r w:rsidR="00092C2A">
        <w:rPr>
          <w:sz w:val="18"/>
          <w:szCs w:val="18"/>
        </w:rPr>
        <w:t xml:space="preserve">tes </w:t>
      </w:r>
      <w:r w:rsidR="00E11C4E" w:rsidRPr="00E11C4E">
        <w:rPr>
          <w:sz w:val="18"/>
          <w:szCs w:val="18"/>
        </w:rPr>
        <w:t xml:space="preserve">only). In defined community </w:t>
      </w:r>
      <w:r w:rsidR="00E11C4E" w:rsidRPr="003C328E">
        <w:rPr>
          <w:i/>
          <w:sz w:val="18"/>
          <w:szCs w:val="18"/>
        </w:rPr>
        <w:t>U. mutabilis</w:t>
      </w:r>
      <w:r w:rsidR="00E11C4E" w:rsidRPr="00E11C4E">
        <w:rPr>
          <w:sz w:val="18"/>
          <w:szCs w:val="18"/>
        </w:rPr>
        <w:t xml:space="preserve"> showed a healthy growth and development (fig. </w:t>
      </w:r>
      <w:r w:rsidR="008F0C59">
        <w:rPr>
          <w:sz w:val="18"/>
          <w:szCs w:val="18"/>
        </w:rPr>
        <w:t>b</w:t>
      </w:r>
      <w:r w:rsidR="00E11C4E" w:rsidRPr="00E11C4E">
        <w:rPr>
          <w:sz w:val="18"/>
          <w:szCs w:val="18"/>
        </w:rPr>
        <w:t xml:space="preserve">) whereas in undefined community </w:t>
      </w:r>
      <w:r w:rsidR="00E11C4E" w:rsidRPr="008F0C59">
        <w:rPr>
          <w:i/>
          <w:sz w:val="18"/>
          <w:szCs w:val="18"/>
        </w:rPr>
        <w:t>U. mutabilis</w:t>
      </w:r>
      <w:r w:rsidR="00E11C4E" w:rsidRPr="00E11C4E">
        <w:rPr>
          <w:sz w:val="18"/>
          <w:szCs w:val="18"/>
        </w:rPr>
        <w:t xml:space="preserve"> lost its ability for growing and developing and formed only callus-like colonies (fig. </w:t>
      </w:r>
      <w:r w:rsidR="008F0C59">
        <w:rPr>
          <w:sz w:val="18"/>
          <w:szCs w:val="18"/>
        </w:rPr>
        <w:t>c</w:t>
      </w:r>
      <w:r w:rsidR="00E11C4E" w:rsidRPr="00E11C4E">
        <w:rPr>
          <w:sz w:val="18"/>
          <w:szCs w:val="18"/>
        </w:rPr>
        <w:t xml:space="preserve">). Multivariate statistics of the GC/MS and LC/MS analyses along with acquisition of biological metadata revealed that the waterborne metabolites in defined community were affected qualitatively and quantitatively by the growth phases of </w:t>
      </w:r>
      <w:r w:rsidR="00E11C4E" w:rsidRPr="008F0C59">
        <w:rPr>
          <w:i/>
          <w:sz w:val="18"/>
          <w:szCs w:val="18"/>
        </w:rPr>
        <w:t>U. mutabilis</w:t>
      </w:r>
      <w:r w:rsidR="00E11C4E" w:rsidRPr="00E11C4E">
        <w:rPr>
          <w:sz w:val="18"/>
          <w:szCs w:val="18"/>
        </w:rPr>
        <w:t xml:space="preserve"> as was proven in previous study of bioreactor cultures (fig. </w:t>
      </w:r>
      <w:r w:rsidR="008F0C59">
        <w:rPr>
          <w:sz w:val="18"/>
          <w:szCs w:val="18"/>
        </w:rPr>
        <w:t>d</w:t>
      </w:r>
      <w:r w:rsidR="00E11C4E" w:rsidRPr="00E11C4E">
        <w:rPr>
          <w:sz w:val="18"/>
          <w:szCs w:val="18"/>
        </w:rPr>
        <w:t>,</w:t>
      </w:r>
      <w:r w:rsidR="008F0C59">
        <w:rPr>
          <w:sz w:val="18"/>
          <w:szCs w:val="18"/>
        </w:rPr>
        <w:t>e</w:t>
      </w:r>
      <w:r w:rsidR="00E11C4E" w:rsidRPr="00E11C4E">
        <w:rPr>
          <w:sz w:val="18"/>
          <w:szCs w:val="18"/>
        </w:rPr>
        <w:t>).</w:t>
      </w:r>
    </w:p>
    <w:p w:rsidR="00AE3E37" w:rsidRDefault="00A9710C">
      <w:pPr>
        <w:pStyle w:val="BodyText"/>
        <w:spacing w:before="90" w:line="280" w:lineRule="auto"/>
        <w:ind w:left="100"/>
        <w:jc w:val="both"/>
      </w:pPr>
      <w:r>
        <w:t xml:space="preserve"> </w:t>
      </w:r>
    </w:p>
    <w:p w:rsidR="00AE3E37" w:rsidRDefault="00A9710C">
      <w:pPr>
        <w:pStyle w:val="Heading3"/>
        <w:spacing w:before="74"/>
      </w:pPr>
      <w:r>
        <w:rPr>
          <w:b w:val="0"/>
        </w:rPr>
        <w:br w:type="column"/>
      </w:r>
      <w:r>
        <w:rPr>
          <w:color w:val="BF5A14"/>
        </w:rPr>
        <w:lastRenderedPageBreak/>
        <w:t>Image</w:t>
      </w:r>
    </w:p>
    <w:p w:rsidR="00AE3E37" w:rsidRDefault="00962650" w:rsidP="008F0C59">
      <w:pPr>
        <w:pStyle w:val="BodyText"/>
        <w:spacing w:before="2"/>
        <w:jc w:val="center"/>
        <w:rPr>
          <w:rFonts w:ascii="Arial"/>
          <w:b/>
          <w:sz w:val="16"/>
        </w:rPr>
      </w:pPr>
      <w:r w:rsidRPr="00962650">
        <w:rPr>
          <w:rFonts w:ascii="Arial"/>
          <w:b/>
          <w:sz w:val="16"/>
        </w:rPr>
        <w:drawing>
          <wp:inline distT="0" distB="0" distL="0" distR="0">
            <wp:extent cx="2172615" cy="1411834"/>
            <wp:effectExtent l="19050" t="0" r="0" b="0"/>
            <wp:docPr id="2" name="Picture 1" descr="DSC01736.JPG"/>
            <wp:cNvGraphicFramePr/>
            <a:graphic xmlns:a="http://schemas.openxmlformats.org/drawingml/2006/main">
              <a:graphicData uri="http://schemas.openxmlformats.org/drawingml/2006/picture">
                <pic:pic xmlns:pic="http://schemas.openxmlformats.org/drawingml/2006/picture">
                  <pic:nvPicPr>
                    <pic:cNvPr id="3" name="Bild 2" descr="DSC01736.JPG"/>
                    <pic:cNvPicPr>
                      <a:picLocks noChangeAspect="1"/>
                    </pic:cNvPicPr>
                  </pic:nvPicPr>
                  <pic:blipFill>
                    <a:blip r:embed="rId9" cstate="print">
                      <a:extLst>
                        <a:ext uri="{28A0092B-C50C-407E-A947-70E740481C1C}">
                          <a14:useLocalDpi xmlns="" xmlns:p="http://schemas.openxmlformats.org/presentationml/2006/main" xmlns:a14="http://schemas.microsoft.com/office/drawing/2010/main" xmlns:lc="http://schemas.openxmlformats.org/drawingml/2006/lockedCanvas" val="0"/>
                        </a:ext>
                      </a:extLst>
                    </a:blip>
                    <a:srcRect l="4155"/>
                    <a:stretch>
                      <a:fillRect/>
                    </a:stretch>
                  </pic:blipFill>
                  <pic:spPr>
                    <a:xfrm>
                      <a:off x="0" y="0"/>
                      <a:ext cx="2174272" cy="1412911"/>
                    </a:xfrm>
                    <a:prstGeom prst="rect">
                      <a:avLst/>
                    </a:prstGeom>
                  </pic:spPr>
                </pic:pic>
              </a:graphicData>
            </a:graphic>
          </wp:inline>
        </w:drawing>
      </w:r>
    </w:p>
    <w:p w:rsidR="005D2892" w:rsidRPr="005A5618" w:rsidRDefault="00621E4C" w:rsidP="005D2892">
      <w:pPr>
        <w:spacing w:line="204" w:lineRule="exact"/>
        <w:jc w:val="center"/>
        <w:rPr>
          <w:sz w:val="14"/>
          <w:szCs w:val="14"/>
        </w:rPr>
      </w:pPr>
      <w:r>
        <w:rPr>
          <w:sz w:val="14"/>
          <w:szCs w:val="14"/>
        </w:rPr>
        <w:t xml:space="preserve">Figure </w:t>
      </w:r>
      <w:r w:rsidR="005D2892">
        <w:rPr>
          <w:sz w:val="14"/>
          <w:szCs w:val="14"/>
        </w:rPr>
        <w:t xml:space="preserve">a: </w:t>
      </w:r>
      <w:r w:rsidR="005D2892" w:rsidRPr="008F0C59">
        <w:rPr>
          <w:sz w:val="14"/>
          <w:szCs w:val="14"/>
        </w:rPr>
        <w:t>Aquaculture set-up of 200 L in cylindrical and conical tanks, Ramalhete Station, Faro, Portugal</w:t>
      </w:r>
      <w:r w:rsidR="005D2892">
        <w:rPr>
          <w:sz w:val="14"/>
          <w:szCs w:val="14"/>
        </w:rPr>
        <w:t>.</w:t>
      </w:r>
      <w:r w:rsidR="005D2892" w:rsidRPr="005A5618">
        <w:rPr>
          <w:sz w:val="14"/>
          <w:szCs w:val="14"/>
        </w:rPr>
        <w:t xml:space="preserve"> </w:t>
      </w:r>
    </w:p>
    <w:p w:rsidR="005A5618" w:rsidRDefault="005A5618" w:rsidP="008F0C59">
      <w:pPr>
        <w:pStyle w:val="BodyText"/>
        <w:spacing w:before="2"/>
        <w:jc w:val="center"/>
        <w:rPr>
          <w:rFonts w:ascii="Arial"/>
          <w:b/>
          <w:sz w:val="16"/>
        </w:rPr>
      </w:pPr>
    </w:p>
    <w:p w:rsidR="005A5618" w:rsidRDefault="005A5618" w:rsidP="008F0C59">
      <w:pPr>
        <w:pStyle w:val="BodyText"/>
        <w:spacing w:before="2"/>
        <w:jc w:val="center"/>
        <w:rPr>
          <w:rFonts w:ascii="Arial"/>
          <w:b/>
          <w:sz w:val="16"/>
        </w:rPr>
      </w:pPr>
      <w:r w:rsidRPr="005A5618">
        <w:rPr>
          <w:rFonts w:ascii="Arial"/>
          <w:b/>
          <w:sz w:val="16"/>
        </w:rPr>
        <w:drawing>
          <wp:inline distT="0" distB="0" distL="0" distR="0">
            <wp:extent cx="1155522" cy="1021883"/>
            <wp:effectExtent l="19050" t="0" r="6528" b="0"/>
            <wp:docPr id="18" name="Picture 2" descr="Tank1 dp1 nr3.jpg"/>
            <wp:cNvGraphicFramePr/>
            <a:graphic xmlns:a="http://schemas.openxmlformats.org/drawingml/2006/main">
              <a:graphicData uri="http://schemas.openxmlformats.org/drawingml/2006/picture">
                <pic:pic xmlns:pic="http://schemas.openxmlformats.org/drawingml/2006/picture">
                  <pic:nvPicPr>
                    <pic:cNvPr id="5" name="Picture 4" descr="Tank1 dp1 nr3.jpg"/>
                    <pic:cNvPicPr>
                      <a:picLocks noChangeAspect="1"/>
                    </pic:cNvPicPr>
                  </pic:nvPicPr>
                  <pic:blipFill>
                    <a:blip r:embed="rId10"/>
                    <a:stretch>
                      <a:fillRect/>
                    </a:stretch>
                  </pic:blipFill>
                  <pic:spPr>
                    <a:xfrm>
                      <a:off x="0" y="0"/>
                      <a:ext cx="1159480" cy="1025383"/>
                    </a:xfrm>
                    <a:prstGeom prst="rect">
                      <a:avLst/>
                    </a:prstGeom>
                  </pic:spPr>
                </pic:pic>
              </a:graphicData>
            </a:graphic>
          </wp:inline>
        </w:drawing>
      </w:r>
      <w:r w:rsidRPr="005A5618">
        <w:rPr>
          <w:rFonts w:ascii="Arial"/>
          <w:b/>
          <w:sz w:val="16"/>
        </w:rPr>
        <w:drawing>
          <wp:inline distT="0" distB="0" distL="0" distR="0">
            <wp:extent cx="1107491" cy="1023829"/>
            <wp:effectExtent l="19050" t="0" r="0" b="0"/>
            <wp:docPr id="19" name="Picture 3" descr="tank8 dp5.jpg"/>
            <wp:cNvGraphicFramePr/>
            <a:graphic xmlns:a="http://schemas.openxmlformats.org/drawingml/2006/main">
              <a:graphicData uri="http://schemas.openxmlformats.org/drawingml/2006/picture">
                <pic:pic xmlns:pic="http://schemas.openxmlformats.org/drawingml/2006/picture">
                  <pic:nvPicPr>
                    <pic:cNvPr id="4" name="Picture 3" descr="tank8 dp5.jpg"/>
                    <pic:cNvPicPr>
                      <a:picLocks noChangeAspect="1"/>
                    </pic:cNvPicPr>
                  </pic:nvPicPr>
                  <pic:blipFill>
                    <a:blip r:embed="rId11"/>
                    <a:stretch>
                      <a:fillRect/>
                    </a:stretch>
                  </pic:blipFill>
                  <pic:spPr>
                    <a:xfrm>
                      <a:off x="0" y="0"/>
                      <a:ext cx="1108506" cy="1024767"/>
                    </a:xfrm>
                    <a:prstGeom prst="rect">
                      <a:avLst/>
                    </a:prstGeom>
                  </pic:spPr>
                </pic:pic>
              </a:graphicData>
            </a:graphic>
          </wp:inline>
        </w:drawing>
      </w:r>
    </w:p>
    <w:p w:rsidR="005D2892" w:rsidRPr="005A5618" w:rsidRDefault="00621E4C" w:rsidP="005D2892">
      <w:pPr>
        <w:spacing w:line="204" w:lineRule="exact"/>
        <w:jc w:val="center"/>
        <w:rPr>
          <w:sz w:val="14"/>
          <w:szCs w:val="14"/>
        </w:rPr>
      </w:pPr>
      <w:r>
        <w:rPr>
          <w:sz w:val="14"/>
          <w:szCs w:val="14"/>
        </w:rPr>
        <w:t xml:space="preserve">Figure b: </w:t>
      </w:r>
      <w:r w:rsidRPr="00621E4C">
        <w:rPr>
          <w:i/>
          <w:sz w:val="14"/>
          <w:szCs w:val="14"/>
        </w:rPr>
        <w:t>U. mutabilis</w:t>
      </w:r>
      <w:r>
        <w:rPr>
          <w:sz w:val="14"/>
          <w:szCs w:val="14"/>
        </w:rPr>
        <w:t xml:space="preserve"> growth in defined community. Figure c: No growth in undefined community</w:t>
      </w:r>
    </w:p>
    <w:p w:rsidR="005A5618" w:rsidRDefault="005A5618" w:rsidP="008F0C59">
      <w:pPr>
        <w:pStyle w:val="BodyText"/>
        <w:spacing w:before="2"/>
        <w:jc w:val="center"/>
        <w:rPr>
          <w:rFonts w:ascii="Arial"/>
          <w:b/>
          <w:sz w:val="16"/>
        </w:rPr>
      </w:pPr>
    </w:p>
    <w:p w:rsidR="005A5618" w:rsidRDefault="00D93D67" w:rsidP="008F0C59">
      <w:pPr>
        <w:pStyle w:val="BodyText"/>
        <w:spacing w:before="2"/>
        <w:jc w:val="center"/>
        <w:rPr>
          <w:rFonts w:ascii="Arial"/>
          <w:b/>
          <w:sz w:val="16"/>
        </w:rPr>
      </w:pPr>
      <w:r>
        <w:rPr>
          <w:rFonts w:ascii="Arial"/>
          <w:b/>
          <w:noProof/>
          <w:color w:val="BF5A14"/>
          <w:sz w:val="20"/>
          <w:lang w:val="de-DE" w:eastAsia="de-DE"/>
        </w:rPr>
        <w:pict>
          <v:rect id="_x0000_s1031" style="position:absolute;left:0;text-align:left;margin-left:125.45pt;margin-top:3.4pt;width:58.65pt;height:25.9pt;z-index:251659264" stroked="f">
            <v:textbox style="mso-next-textbox:#_x0000_s1031">
              <w:txbxContent>
                <w:p w:rsidR="00D93D67" w:rsidRPr="00D93D67" w:rsidRDefault="00D93D67" w:rsidP="00D93D67">
                  <w:pPr>
                    <w:jc w:val="center"/>
                    <w:rPr>
                      <w:sz w:val="12"/>
                      <w:szCs w:val="12"/>
                    </w:rPr>
                  </w:pPr>
                  <w:r>
                    <w:rPr>
                      <w:sz w:val="12"/>
                      <w:szCs w:val="12"/>
                    </w:rPr>
                    <w:t>e</w:t>
                  </w:r>
                  <w:r w:rsidRPr="00D93D67">
                    <w:rPr>
                      <w:sz w:val="12"/>
                      <w:szCs w:val="12"/>
                    </w:rPr>
                    <w:t>:</w:t>
                  </w:r>
                  <w:r>
                    <w:rPr>
                      <w:sz w:val="12"/>
                      <w:szCs w:val="12"/>
                    </w:rPr>
                    <w:t xml:space="preserve"> </w:t>
                  </w:r>
                  <w:r w:rsidRPr="00D93D67">
                    <w:rPr>
                      <w:sz w:val="12"/>
                      <w:szCs w:val="12"/>
                    </w:rPr>
                    <w:t>CAP of GC-MS analysis</w:t>
                  </w:r>
                </w:p>
              </w:txbxContent>
            </v:textbox>
          </v:rect>
        </w:pict>
      </w:r>
      <w:r w:rsidR="005A5618" w:rsidRPr="005A5618">
        <w:rPr>
          <w:rFonts w:ascii="Arial"/>
          <w:b/>
          <w:sz w:val="16"/>
        </w:rPr>
        <w:drawing>
          <wp:inline distT="0" distB="0" distL="0" distR="0">
            <wp:extent cx="1527582" cy="1243584"/>
            <wp:effectExtent l="19050" t="0" r="0" b="0"/>
            <wp:docPr id="20" name="Picture 4"/>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
                    <a:srcRect/>
                    <a:stretch>
                      <a:fillRect/>
                    </a:stretch>
                  </pic:blipFill>
                  <pic:spPr bwMode="auto">
                    <a:xfrm>
                      <a:off x="0" y="0"/>
                      <a:ext cx="1527436" cy="1243465"/>
                    </a:xfrm>
                    <a:prstGeom prst="rect">
                      <a:avLst/>
                    </a:prstGeom>
                    <a:noFill/>
                    <a:ln w="9525">
                      <a:noFill/>
                      <a:miter lim="800000"/>
                      <a:headEnd/>
                      <a:tailEnd/>
                    </a:ln>
                    <a:effectLst/>
                  </pic:spPr>
                </pic:pic>
              </a:graphicData>
            </a:graphic>
          </wp:inline>
        </w:drawing>
      </w:r>
      <w:r w:rsidR="005A5618" w:rsidRPr="005A338C">
        <w:rPr>
          <w:noProof/>
          <w:sz w:val="22"/>
          <w:szCs w:val="22"/>
          <w:lang w:eastAsia="de-DE"/>
        </w:rPr>
        <w:t xml:space="preserve"> </w:t>
      </w:r>
      <w:r w:rsidR="005A5618" w:rsidRPr="005A5618">
        <w:rPr>
          <w:noProof/>
          <w:sz w:val="22"/>
          <w:szCs w:val="22"/>
          <w:lang w:val="de-DE" w:eastAsia="de-DE"/>
        </w:rPr>
        <w:drawing>
          <wp:inline distT="0" distB="0" distL="0" distR="0">
            <wp:extent cx="1568348" cy="1221638"/>
            <wp:effectExtent l="19050" t="0" r="0" b="0"/>
            <wp:docPr id="22" name="Picture 6"/>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3"/>
                    <a:srcRect/>
                    <a:stretch>
                      <a:fillRect/>
                    </a:stretch>
                  </pic:blipFill>
                  <pic:spPr bwMode="auto">
                    <a:xfrm>
                      <a:off x="0" y="0"/>
                      <a:ext cx="1568348" cy="1221638"/>
                    </a:xfrm>
                    <a:prstGeom prst="rect">
                      <a:avLst/>
                    </a:prstGeom>
                    <a:noFill/>
                    <a:ln w="9525">
                      <a:noFill/>
                      <a:miter lim="800000"/>
                      <a:headEnd/>
                      <a:tailEnd/>
                    </a:ln>
                    <a:effectLst/>
                  </pic:spPr>
                </pic:pic>
              </a:graphicData>
            </a:graphic>
          </wp:inline>
        </w:drawing>
      </w:r>
    </w:p>
    <w:p w:rsidR="005A5618" w:rsidRDefault="005A5618" w:rsidP="008F0C59">
      <w:pPr>
        <w:pStyle w:val="BodyText"/>
        <w:spacing w:before="2"/>
        <w:jc w:val="center"/>
        <w:rPr>
          <w:rFonts w:ascii="Arial"/>
          <w:b/>
          <w:sz w:val="16"/>
        </w:rPr>
      </w:pPr>
    </w:p>
    <w:p w:rsidR="005A338C" w:rsidRPr="005A5618" w:rsidRDefault="005A338C" w:rsidP="005A338C">
      <w:pPr>
        <w:spacing w:line="204" w:lineRule="exact"/>
        <w:jc w:val="center"/>
        <w:rPr>
          <w:sz w:val="14"/>
          <w:szCs w:val="14"/>
        </w:rPr>
      </w:pPr>
      <w:r>
        <w:rPr>
          <w:sz w:val="14"/>
          <w:szCs w:val="14"/>
        </w:rPr>
        <w:t xml:space="preserve">Figure d,e: </w:t>
      </w:r>
      <w:r>
        <w:rPr>
          <w:i/>
          <w:sz w:val="14"/>
          <w:szCs w:val="14"/>
        </w:rPr>
        <w:t xml:space="preserve">three separated groups based on the growth phases of U. mutabilis. </w:t>
      </w:r>
      <w:r>
        <w:rPr>
          <w:sz w:val="14"/>
          <w:szCs w:val="14"/>
        </w:rPr>
        <w:t>r</w:t>
      </w:r>
      <w:r w:rsidRPr="005A338C">
        <w:rPr>
          <w:sz w:val="14"/>
          <w:szCs w:val="14"/>
        </w:rPr>
        <w:t>ed: non inducible phase, green: artificially inducible phase, Magenta: spontaneously inducible phase</w:t>
      </w:r>
    </w:p>
    <w:p w:rsidR="005A5618" w:rsidRDefault="005A5618" w:rsidP="005973B9">
      <w:pPr>
        <w:spacing w:line="204" w:lineRule="exact"/>
        <w:rPr>
          <w:rFonts w:ascii="Arial"/>
          <w:b/>
          <w:color w:val="BF5A14"/>
          <w:sz w:val="20"/>
        </w:rPr>
      </w:pPr>
    </w:p>
    <w:p w:rsidR="005D2892" w:rsidRDefault="005D2892" w:rsidP="005973B9">
      <w:pPr>
        <w:spacing w:line="204" w:lineRule="exact"/>
        <w:rPr>
          <w:rFonts w:ascii="Arial"/>
          <w:b/>
          <w:color w:val="BF5A14"/>
          <w:sz w:val="20"/>
        </w:rPr>
      </w:pPr>
    </w:p>
    <w:p w:rsidR="005973B9" w:rsidRDefault="005973B9" w:rsidP="00142946">
      <w:pPr>
        <w:spacing w:line="204" w:lineRule="exact"/>
        <w:rPr>
          <w:rFonts w:ascii="Calibri" w:hAnsi="Calibri"/>
        </w:rPr>
      </w:pPr>
      <w:r>
        <w:rPr>
          <w:rFonts w:ascii="Arial"/>
          <w:b/>
          <w:color w:val="BF5A14"/>
          <w:sz w:val="20"/>
        </w:rPr>
        <w:br/>
      </w:r>
    </w:p>
    <w:p w:rsidR="00142946" w:rsidRDefault="00142946" w:rsidP="00142946">
      <w:pPr>
        <w:spacing w:line="204" w:lineRule="exact"/>
        <w:rPr>
          <w:rFonts w:ascii="Calibri" w:hAnsi="Calibri"/>
        </w:rPr>
      </w:pPr>
    </w:p>
    <w:p w:rsidR="00142946" w:rsidRDefault="00142946" w:rsidP="00142946">
      <w:pPr>
        <w:spacing w:line="204" w:lineRule="exact"/>
        <w:rPr>
          <w:rFonts w:ascii="Calibri" w:hAnsi="Calibri"/>
        </w:rPr>
      </w:pPr>
    </w:p>
    <w:p w:rsidR="00142946" w:rsidRDefault="00142946" w:rsidP="00142946">
      <w:pPr>
        <w:spacing w:line="204" w:lineRule="exact"/>
        <w:rPr>
          <w:rFonts w:ascii="Calibri" w:hAnsi="Calibri"/>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C85F4C">
      <w:pPr>
        <w:pStyle w:val="BodyText"/>
        <w:spacing w:line="40" w:lineRule="exact"/>
        <w:ind w:left="2202"/>
        <w:rPr>
          <w:rFonts w:ascii="Calibri"/>
          <w:noProof/>
          <w:sz w:val="4"/>
        </w:rPr>
      </w:pPr>
      <w:r w:rsidRPr="00C85F4C">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noProof/>
          <w:sz w:val="4"/>
        </w:rPr>
      </w:pPr>
    </w:p>
    <w:p w:rsidR="00142946" w:rsidRDefault="00142946">
      <w:pPr>
        <w:pStyle w:val="BodyText"/>
        <w:spacing w:line="40" w:lineRule="exact"/>
        <w:ind w:left="2202"/>
        <w:rPr>
          <w:rFonts w:ascii="Calibri"/>
          <w:sz w:val="4"/>
        </w:rPr>
      </w:pPr>
    </w:p>
    <w:p w:rsidR="00142946" w:rsidRDefault="00142946" w:rsidP="00404E5B">
      <w:pPr>
        <w:spacing w:before="92"/>
        <w:ind w:right="4234"/>
        <w:rPr>
          <w:noProof/>
          <w:lang w:val="de-DE" w:eastAsia="de-DE"/>
        </w:rPr>
      </w:pPr>
    </w:p>
    <w:p w:rsidR="00AE3E37" w:rsidRDefault="00A9710C" w:rsidP="00404E5B">
      <w:pPr>
        <w:spacing w:before="92"/>
        <w:ind w:right="4234"/>
        <w:rPr>
          <w:rFonts w:ascii="Arial"/>
        </w:rPr>
      </w:pPr>
      <w:r>
        <w:rPr>
          <w:rFonts w:ascii="Arial"/>
          <w:color w:val="BF5A14"/>
        </w:rPr>
        <w:lastRenderedPageBreak/>
        <w:t>Biography</w:t>
      </w:r>
      <w:r w:rsidR="00404E5B">
        <w:rPr>
          <w:rFonts w:ascii="Arial"/>
          <w:color w:val="BF5A14"/>
        </w:rPr>
        <w:t xml:space="preserve"> (150 word limit)</w:t>
      </w:r>
    </w:p>
    <w:p w:rsidR="007F3981" w:rsidRPr="00512979" w:rsidRDefault="007F3981" w:rsidP="007F3981">
      <w:pPr>
        <w:autoSpaceDE w:val="0"/>
        <w:autoSpaceDN w:val="0"/>
        <w:adjustRightInd w:val="0"/>
        <w:spacing w:line="200" w:lineRule="exact"/>
        <w:rPr>
          <w:rFonts w:ascii="Georgia" w:eastAsia="SimSun" w:hAnsi="Georgia"/>
          <w:bCs/>
          <w:color w:val="181512"/>
          <w:sz w:val="14"/>
          <w:szCs w:val="14"/>
          <w:lang w:eastAsia="zh-CN"/>
        </w:rPr>
      </w:pPr>
      <w:r w:rsidRPr="00512979">
        <w:rPr>
          <w:rFonts w:ascii="Georgia" w:eastAsia="SimSun" w:hAnsi="Georgia"/>
          <w:bCs/>
          <w:color w:val="181512"/>
          <w:sz w:val="14"/>
          <w:szCs w:val="14"/>
          <w:lang w:eastAsia="zh-CN"/>
        </w:rPr>
        <w:t>Taghreed Alsufyani, an Assistance Professor of Bioorganic Chemistry, Taif University, grew up in Kingdome of Saudi Arabia and received her Bachelor’s and Master’s degrees from King AbdulAziz University, Jeddah, KSA in 2006. After that, she joined Chemistry Department at Taif University where she got a scholarship to join PhD program at Friedrich Schiller University Jena, Germany, under the supervision of Dr. Thomas Wichard in Professor Georg Pohnert’s group. By the end of 2014, she got the PhD degree. In 2015, she went back to Taif University and was promoted to Assistance Professor. Since 2015, she has established The Algal Research Laboratory and began her investigation of algal chemical ecology as well as the applications of algae in biotechnology processes such as water treatment and bioenergy production.</w:t>
      </w:r>
    </w:p>
    <w:p w:rsidR="007F3981" w:rsidRDefault="007F3981" w:rsidP="007F3981">
      <w:pPr>
        <w:spacing w:before="62"/>
        <w:ind w:left="4217" w:right="3744"/>
        <w:jc w:val="center"/>
        <w:rPr>
          <w:rFonts w:ascii="Arial"/>
          <w:sz w:val="14"/>
        </w:rPr>
      </w:pPr>
      <w:r>
        <w:rPr>
          <w:rFonts w:ascii="Arial"/>
          <w:sz w:val="14"/>
        </w:rPr>
        <w:t xml:space="preserve">Email: </w:t>
      </w:r>
      <w:r w:rsidRPr="008464A5">
        <w:rPr>
          <w:rFonts w:ascii="Arial"/>
          <w:color w:val="0070C0"/>
          <w:sz w:val="14"/>
          <w:u w:val="single"/>
        </w:rPr>
        <w:t>T</w:t>
      </w:r>
      <w:r>
        <w:rPr>
          <w:rFonts w:ascii="Arial"/>
          <w:color w:val="0070C0"/>
          <w:sz w:val="14"/>
          <w:u w:val="single"/>
        </w:rPr>
        <w:t>aghreed.alsufyani@gma</w:t>
      </w:r>
      <w:r w:rsidRPr="008464A5">
        <w:rPr>
          <w:rFonts w:ascii="Arial"/>
          <w:color w:val="0070C0"/>
          <w:sz w:val="14"/>
          <w:u w:val="single"/>
        </w:rPr>
        <w:t>il.com</w:t>
      </w:r>
    </w:p>
    <w:p w:rsidR="00AE3E37" w:rsidRDefault="00C85F4C">
      <w:pPr>
        <w:pStyle w:val="BodyText"/>
        <w:spacing w:before="2"/>
        <w:rPr>
          <w:rFonts w:ascii="Arial"/>
          <w:sz w:val="19"/>
        </w:rPr>
      </w:pPr>
      <w:r w:rsidRPr="00C85F4C">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142946">
      <w:pPr>
        <w:pStyle w:val="BodyText"/>
        <w:spacing w:before="3"/>
        <w:rPr>
          <w:rFonts w:ascii="Minion Pro"/>
          <w:sz w:val="26"/>
        </w:rPr>
      </w:pPr>
      <w:r>
        <w:rPr>
          <w:rFonts w:ascii="Minion Pro"/>
          <w:sz w:val="26"/>
        </w:rPr>
        <w:lastRenderedPageBreak/>
        <w:t>I got an invitation for Oral presentation</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1B93" w:rsidRDefault="00151B93">
      <w:r>
        <w:separator/>
      </w:r>
    </w:p>
  </w:endnote>
  <w:endnote w:type="continuationSeparator" w:id="1">
    <w:p w:rsidR="00151B93" w:rsidRDefault="00151B9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85F4C">
    <w:pPr>
      <w:pStyle w:val="BodyText"/>
      <w:spacing w:line="14" w:lineRule="auto"/>
      <w:rPr>
        <w:sz w:val="20"/>
      </w:rPr>
    </w:pPr>
    <w:r w:rsidRPr="00C85F4C">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85F4C">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85F4C">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1B93" w:rsidRDefault="00151B93">
      <w:r>
        <w:separator/>
      </w:r>
    </w:p>
  </w:footnote>
  <w:footnote w:type="continuationSeparator" w:id="1">
    <w:p w:rsidR="00151B93" w:rsidRDefault="00151B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85F4C">
    <w:pPr>
      <w:pStyle w:val="BodyText"/>
      <w:spacing w:line="14" w:lineRule="auto"/>
      <w:rPr>
        <w:sz w:val="20"/>
      </w:rPr>
    </w:pPr>
    <w:r w:rsidRPr="00C85F4C">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85F4C">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5122">
      <o:colormenu v:ext="edit" strokecolor="none"/>
    </o:shapedefaults>
    <o:shapelayout v:ext="edit">
      <o:idmap v:ext="edit" data="4"/>
    </o:shapelayout>
  </w:hdrShapeDefaults>
  <w:footnotePr>
    <w:footnote w:id="0"/>
    <w:footnote w:id="1"/>
  </w:footnotePr>
  <w:endnotePr>
    <w:endnote w:id="0"/>
    <w:endnote w:id="1"/>
  </w:endnotePr>
  <w:compat>
    <w:ulTrailSpace/>
  </w:compat>
  <w:rsids>
    <w:rsidRoot w:val="00AE3E37"/>
    <w:rsid w:val="00092C2A"/>
    <w:rsid w:val="000E2911"/>
    <w:rsid w:val="000F7850"/>
    <w:rsid w:val="001263DF"/>
    <w:rsid w:val="00142946"/>
    <w:rsid w:val="00151B93"/>
    <w:rsid w:val="00292ED9"/>
    <w:rsid w:val="003C328E"/>
    <w:rsid w:val="00404E5B"/>
    <w:rsid w:val="00414F7B"/>
    <w:rsid w:val="004355DC"/>
    <w:rsid w:val="004749B4"/>
    <w:rsid w:val="00494130"/>
    <w:rsid w:val="004F3523"/>
    <w:rsid w:val="005973B9"/>
    <w:rsid w:val="005A338C"/>
    <w:rsid w:val="005A5618"/>
    <w:rsid w:val="005B3A56"/>
    <w:rsid w:val="005D2892"/>
    <w:rsid w:val="006060CE"/>
    <w:rsid w:val="00621E4C"/>
    <w:rsid w:val="0063497F"/>
    <w:rsid w:val="00690400"/>
    <w:rsid w:val="007F3981"/>
    <w:rsid w:val="00873DF0"/>
    <w:rsid w:val="008756E6"/>
    <w:rsid w:val="008C03DF"/>
    <w:rsid w:val="008F0C59"/>
    <w:rsid w:val="00962650"/>
    <w:rsid w:val="009B2D44"/>
    <w:rsid w:val="00A07E82"/>
    <w:rsid w:val="00A61A08"/>
    <w:rsid w:val="00A9710C"/>
    <w:rsid w:val="00AE3E37"/>
    <w:rsid w:val="00B21A57"/>
    <w:rsid w:val="00C33602"/>
    <w:rsid w:val="00C85F4C"/>
    <w:rsid w:val="00CD6F55"/>
    <w:rsid w:val="00D32855"/>
    <w:rsid w:val="00D93D67"/>
    <w:rsid w:val="00DE3104"/>
    <w:rsid w:val="00E11C4E"/>
    <w:rsid w:val="00EA58D0"/>
    <w:rsid w:val="00F22078"/>
    <w:rsid w:val="00F72EEA"/>
    <w:rsid w:val="00F84CAE"/>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w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Windows-Benutzer</cp:lastModifiedBy>
  <cp:revision>2</cp:revision>
  <dcterms:created xsi:type="dcterms:W3CDTF">2017-04-15T20:30:00Z</dcterms:created>
  <dcterms:modified xsi:type="dcterms:W3CDTF">2017-04-15T20:30:00Z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