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4F7" w:rsidRPr="005547DE" w:rsidRDefault="009A74F7" w:rsidP="009A74F7">
      <w:pPr>
        <w:wordWrap/>
        <w:spacing w:after="0" w:line="480" w:lineRule="auto"/>
        <w:rPr>
          <w:rFonts w:ascii="Times New Roman" w:hAnsi="Times New Roman" w:cs="Times New Roman"/>
          <w:b/>
          <w:sz w:val="24"/>
          <w:szCs w:val="24"/>
        </w:rPr>
      </w:pPr>
      <w:r w:rsidRPr="005547DE">
        <w:rPr>
          <w:rFonts w:ascii="Times New Roman" w:hAnsi="Times New Roman" w:cs="Times New Roman"/>
          <w:b/>
          <w:sz w:val="24"/>
          <w:szCs w:val="24"/>
        </w:rPr>
        <w:t>Residue analysis of picoxystrobin in oriental melon using gas chromatography coupled with electron capture detection and mass spectrometric confirmation: Application to dissipation kinetics and risk assessment</w:t>
      </w:r>
    </w:p>
    <w:p w:rsidR="009A74F7" w:rsidRPr="005547DE" w:rsidRDefault="009A74F7" w:rsidP="009A74F7">
      <w:pPr>
        <w:wordWrap/>
        <w:spacing w:after="0" w:line="480" w:lineRule="auto"/>
        <w:jc w:val="center"/>
        <w:rPr>
          <w:rFonts w:ascii="Times New Roman" w:hAnsi="Times New Roman" w:cs="Times New Roman"/>
          <w:b/>
          <w:sz w:val="24"/>
          <w:szCs w:val="24"/>
        </w:rPr>
      </w:pPr>
      <w:r w:rsidRPr="005547DE">
        <w:rPr>
          <w:rFonts w:ascii="Times New Roman" w:hAnsi="Times New Roman" w:cs="Times New Roman"/>
          <w:b/>
          <w:sz w:val="24"/>
          <w:szCs w:val="24"/>
        </w:rPr>
        <w:t>Abstract</w:t>
      </w:r>
    </w:p>
    <w:p w:rsidR="009A74F7" w:rsidRPr="005547DE" w:rsidRDefault="009A74F7" w:rsidP="009A74F7">
      <w:pPr>
        <w:wordWrap/>
        <w:spacing w:after="0" w:line="480" w:lineRule="auto"/>
        <w:rPr>
          <w:rFonts w:ascii="Times New Roman" w:hAnsi="Times New Roman" w:cs="Times New Roman"/>
          <w:sz w:val="24"/>
          <w:szCs w:val="24"/>
        </w:rPr>
      </w:pPr>
      <w:r w:rsidRPr="005547DE">
        <w:rPr>
          <w:rFonts w:ascii="Times New Roman" w:hAnsi="Times New Roman" w:cs="Times New Roman"/>
          <w:sz w:val="24"/>
          <w:szCs w:val="24"/>
        </w:rPr>
        <w:t>This study was carried out to determine the residual amounts of picoxystrobin in oriental melon (</w:t>
      </w:r>
      <w:r w:rsidRPr="005547DE">
        <w:rPr>
          <w:rFonts w:ascii="Times New Roman" w:hAnsi="Times New Roman" w:cs="Times New Roman"/>
          <w:i/>
          <w:sz w:val="24"/>
          <w:szCs w:val="24"/>
        </w:rPr>
        <w:t>Cucumis melo</w:t>
      </w:r>
      <w:r w:rsidRPr="005547DE">
        <w:rPr>
          <w:rFonts w:ascii="Times New Roman" w:hAnsi="Times New Roman" w:cs="Times New Roman"/>
          <w:sz w:val="24"/>
          <w:szCs w:val="24"/>
        </w:rPr>
        <w:t xml:space="preserve"> L.) grown under plastic house conditions at two different sites (site 1 and site 2, cultivated in April and September 2016, respectively). Samples collected over 10 days were extracted using acetonitrile and salting out (using solid sodium chloride) and purified using Florisil solid-phase extraction cartridges. The analyte was determined using gas chromatography-electron capture detection (GC-ECD) and field-incurred residues were verified using gas chromatography-mass spectrometry</w:t>
      </w:r>
      <w:r>
        <w:rPr>
          <w:rFonts w:ascii="Times New Roman" w:hAnsi="Times New Roman" w:cs="Times New Roman" w:hint="eastAsia"/>
          <w:sz w:val="24"/>
          <w:szCs w:val="24"/>
        </w:rPr>
        <w:t xml:space="preserve"> (GC-MS)</w:t>
      </w:r>
      <w:r w:rsidRPr="005547DE">
        <w:rPr>
          <w:rFonts w:ascii="Times New Roman" w:hAnsi="Times New Roman" w:cs="Times New Roman"/>
          <w:sz w:val="24"/>
          <w:szCs w:val="24"/>
        </w:rPr>
        <w:t>. The calibration curve was linear over the range 0.02-2.0 mg/L with a coefficient of determination</w:t>
      </w:r>
      <w:r w:rsidRPr="005547DE" w:rsidDel="005547DE">
        <w:rPr>
          <w:rFonts w:ascii="Times New Roman" w:hAnsi="Times New Roman" w:cs="Times New Roman"/>
          <w:sz w:val="24"/>
          <w:szCs w:val="24"/>
        </w:rPr>
        <w:t xml:space="preserve"> </w:t>
      </w:r>
      <w:r w:rsidRPr="005547DE">
        <w:rPr>
          <w:rFonts w:ascii="Times New Roman" w:hAnsi="Times New Roman" w:cs="Times New Roman"/>
          <w:sz w:val="24"/>
          <w:szCs w:val="24"/>
        </w:rPr>
        <w:t xml:space="preserve">of </w:t>
      </w:r>
      <w:r w:rsidRPr="005547DE">
        <w:rPr>
          <w:rFonts w:ascii="Times New Roman" w:hAnsi="Times New Roman" w:cs="Times New Roman"/>
          <w:i/>
          <w:sz w:val="24"/>
          <w:szCs w:val="24"/>
        </w:rPr>
        <w:t>R</w:t>
      </w:r>
      <w:r w:rsidRPr="005547DE">
        <w:rPr>
          <w:rFonts w:ascii="Times New Roman" w:hAnsi="Times New Roman" w:cs="Times New Roman"/>
          <w:i/>
          <w:sz w:val="24"/>
          <w:szCs w:val="24"/>
          <w:vertAlign w:val="superscript"/>
        </w:rPr>
        <w:t>2</w:t>
      </w:r>
      <w:r w:rsidRPr="005547DE">
        <w:rPr>
          <w:rFonts w:ascii="Times New Roman" w:hAnsi="Times New Roman" w:cs="Times New Roman"/>
          <w:sz w:val="24"/>
          <w:szCs w:val="24"/>
        </w:rPr>
        <w:t>= 0.9998. The limits of detection and quantification were 0.003 and 0.01 mg/kg, respectively. Recoveries, tested at three spiking levels, were satisfactory with rates in the range 87.7-101.5% and relative standard deviations ≤ 9.6. The dissipation half-lives were 3.4 and 3.7 days for sites 1 and 2, respectively. H</w:t>
      </w:r>
      <w:r w:rsidRPr="005547DE">
        <w:rPr>
          <w:rFonts w:ascii="Times New Roman" w:hAnsi="Times New Roman" w:cs="Times New Roman"/>
          <w:color w:val="000000"/>
          <w:sz w:val="24"/>
          <w:szCs w:val="24"/>
          <w:shd w:val="clear" w:color="auto" w:fill="FFFFFF"/>
        </w:rPr>
        <w:t>azard estimates obtained using</w:t>
      </w:r>
      <w:r w:rsidRPr="005547DE">
        <w:rPr>
          <w:rFonts w:ascii="Times New Roman" w:hAnsi="Times New Roman" w:cs="Times New Roman"/>
          <w:sz w:val="24"/>
          <w:szCs w:val="24"/>
        </w:rPr>
        <w:t xml:space="preserve"> hazard quotients (HQs) revealed no health risk from the suggested pesticide application dosage when considering an adult’s body weight, oriental melon consumption, and the accepted daily intake of picoxystrobin.</w:t>
      </w:r>
    </w:p>
    <w:p w:rsidR="00B60B93" w:rsidRDefault="00B60B93"/>
    <w:sectPr w:rsidR="00B60B93" w:rsidSect="00B60B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A74F7"/>
    <w:rsid w:val="004346E7"/>
    <w:rsid w:val="00542123"/>
    <w:rsid w:val="009A74F7"/>
    <w:rsid w:val="00B60B93"/>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4F7"/>
    <w:pPr>
      <w:widowControl w:val="0"/>
      <w:wordWrap w:val="0"/>
      <w:autoSpaceDE w:val="0"/>
      <w:autoSpaceDN w:val="0"/>
      <w:jc w:val="both"/>
    </w:pPr>
    <w:rPr>
      <w:kern w:val="2"/>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74F7"/>
    <w:rPr>
      <w:color w:val="0000FF"/>
      <w:u w:val="single"/>
    </w:rPr>
  </w:style>
  <w:style w:type="paragraph" w:customStyle="1" w:styleId="a">
    <w:name w:val="바탕글"/>
    <w:basedOn w:val="Normal"/>
    <w:rsid w:val="009A74F7"/>
    <w:pPr>
      <w:widowControl/>
      <w:wordWrap/>
      <w:autoSpaceDE/>
      <w:autoSpaceDN/>
      <w:snapToGrid w:val="0"/>
      <w:spacing w:after="0" w:line="384" w:lineRule="auto"/>
    </w:pPr>
    <w:rPr>
      <w:rFonts w:ascii="Batang" w:eastAsia="Batang" w:hAnsi="Batang" w:cs="Gulim"/>
      <w:color w:val="000000"/>
      <w:kern w:val="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1265</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2017-03-23T23:58:00Z</dcterms:created>
  <dcterms:modified xsi:type="dcterms:W3CDTF">2017-03-23T23:59:00Z</dcterms:modified>
</cp:coreProperties>
</file>