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3D3BF" w14:textId="77777777" w:rsidR="005B0592" w:rsidRDefault="00ED290B">
      <w:pPr>
        <w:jc w:val="center"/>
        <w:rPr>
          <w:rFonts w:ascii="Arial" w:hAnsi="Arial"/>
          <w:b/>
          <w:i/>
          <w:sz w:val="28"/>
        </w:rPr>
      </w:pPr>
      <w:r>
        <w:rPr>
          <w:rFonts w:ascii="Arial" w:hAnsi="Arial"/>
          <w:b/>
          <w:i/>
          <w:sz w:val="28"/>
        </w:rPr>
        <w:t>ABORDAJE TERAPÉUTICO DE LOS SÍNDROMES EQUIVALENTES AL TRASTORNO METABÓLICO DESDE LA COSMOVISIÓN DE LA MEDICINA TRADICIONAL CHINA</w:t>
      </w:r>
    </w:p>
    <w:p w14:paraId="176F350F" w14:textId="77777777" w:rsidR="005B0592" w:rsidRDefault="005B0592"/>
    <w:p w14:paraId="20534A41" w14:textId="77777777" w:rsidR="005B0592" w:rsidRDefault="005B0592"/>
    <w:p w14:paraId="3654763B" w14:textId="77777777" w:rsidR="005B0592" w:rsidRDefault="00ED290B">
      <w:pPr>
        <w:rPr>
          <w:b/>
        </w:rPr>
      </w:pPr>
      <w:r>
        <w:rPr>
          <w:b/>
        </w:rPr>
        <w:t xml:space="preserve"> </w:t>
      </w:r>
    </w:p>
    <w:p w14:paraId="61488E5F" w14:textId="77777777" w:rsidR="005B0592" w:rsidRDefault="00ED290B">
      <w:pPr>
        <w:rPr>
          <w:rFonts w:ascii="Arial" w:hAnsi="Arial" w:cs="Arial"/>
          <w:b/>
        </w:rPr>
      </w:pPr>
      <w:r>
        <w:rPr>
          <w:rFonts w:ascii="Arial" w:hAnsi="Arial" w:cs="Arial"/>
          <w:b/>
        </w:rPr>
        <w:t>Resumen</w:t>
      </w:r>
    </w:p>
    <w:p w14:paraId="378AC3A7" w14:textId="77777777" w:rsidR="005B0592" w:rsidRDefault="00ED290B">
      <w:pPr>
        <w:jc w:val="both"/>
        <w:rPr>
          <w:rFonts w:ascii="Arial" w:hAnsi="Arial" w:cs="Arial"/>
        </w:rPr>
      </w:pPr>
      <w:r>
        <w:rPr>
          <w:rFonts w:ascii="Arial" w:hAnsi="Arial" w:cs="Arial"/>
        </w:rPr>
        <w:t>El síndrome metabólico es una de las patologías más comunes en los países en desarrollo, con uso de tratamientos farmacológicos permanentes, que si bien reducen la morbilidad, pueden llevar a efectos secund</w:t>
      </w:r>
      <w:r w:rsidR="00731F0F">
        <w:rPr>
          <w:rFonts w:ascii="Arial" w:hAnsi="Arial" w:cs="Arial"/>
        </w:rPr>
        <w:t xml:space="preserve">arios por su uso a largo plazo; </w:t>
      </w:r>
      <w:r>
        <w:rPr>
          <w:rFonts w:ascii="Arial" w:hAnsi="Arial" w:cs="Arial"/>
        </w:rPr>
        <w:t xml:space="preserve">sin dejar de lado el enfoque preventivo mediante la intervención en las costumbres de los individuos, siendo este el manejo convencional en la Medicina Occidental. La Medicina China por su parte permite un abordaje terapéutico integral  que involucra el uso de hierbas medicinales, acupuntura, además de ajustes en los hábitos de vida de los individuos con resultados altamente prometedores. La revisión de la literatura demuestra finalmente que el uso de estas alternativas terapéuticas permite la mejoría significativa en valores de colesterol sérico, niveles de azúcar, reducción de peso y disminución del uso de medicamentos convencionales. </w:t>
      </w:r>
    </w:p>
    <w:p w14:paraId="6180C225" w14:textId="77777777" w:rsidR="005B0592" w:rsidRDefault="00ED290B">
      <w:pPr>
        <w:jc w:val="both"/>
        <w:rPr>
          <w:rFonts w:ascii="Arial" w:hAnsi="Arial" w:cs="Arial"/>
        </w:rPr>
      </w:pPr>
      <w:r>
        <w:rPr>
          <w:rFonts w:ascii="Arial" w:hAnsi="Arial" w:cs="Arial"/>
          <w:b/>
        </w:rPr>
        <w:t>Palabras Clave:</w:t>
      </w:r>
      <w:r>
        <w:rPr>
          <w:rFonts w:ascii="Arial" w:hAnsi="Arial" w:cs="Arial"/>
        </w:rPr>
        <w:t xml:space="preserve"> Síndrome metabólico, Medicina China,Herbolaría, Acupuntura.</w:t>
      </w:r>
    </w:p>
    <w:p w14:paraId="5A212A8B" w14:textId="0DA2F47E" w:rsidR="000D527C" w:rsidRDefault="000D527C">
      <w:pPr>
        <w:jc w:val="both"/>
        <w:rPr>
          <w:rFonts w:ascii="Arial" w:hAnsi="Arial" w:cs="Arial"/>
          <w:b/>
        </w:rPr>
      </w:pPr>
      <w:r>
        <w:rPr>
          <w:rFonts w:ascii="Arial" w:hAnsi="Arial" w:cs="Arial"/>
          <w:b/>
        </w:rPr>
        <w:t>Abstract:</w:t>
      </w:r>
    </w:p>
    <w:p w14:paraId="4569F9DA" w14:textId="17846A62" w:rsidR="000D527C" w:rsidRPr="000D527C" w:rsidRDefault="000D527C">
      <w:pPr>
        <w:jc w:val="both"/>
        <w:rPr>
          <w:rFonts w:ascii="Arial" w:hAnsi="Arial" w:cs="Arial"/>
        </w:rPr>
      </w:pPr>
      <w:r w:rsidRPr="000D527C">
        <w:rPr>
          <w:rFonts w:ascii="Arial" w:hAnsi="Arial" w:cs="Arial"/>
        </w:rPr>
        <w:t xml:space="preserve">The metabolic </w:t>
      </w:r>
      <w:r>
        <w:rPr>
          <w:rFonts w:ascii="Arial" w:hAnsi="Arial" w:cs="Arial"/>
        </w:rPr>
        <w:t>sy</w:t>
      </w:r>
      <w:r w:rsidRPr="000D527C">
        <w:rPr>
          <w:rFonts w:ascii="Arial" w:hAnsi="Arial" w:cs="Arial"/>
        </w:rPr>
        <w:t xml:space="preserve">ndrome </w:t>
      </w:r>
      <w:r>
        <w:rPr>
          <w:rFonts w:ascii="Arial" w:hAnsi="Arial" w:cs="Arial"/>
        </w:rPr>
        <w:t>is one of the most common disease in developing countries, with use of permanent drug treatments, w</w:t>
      </w:r>
      <w:r w:rsidR="00EC6D4E">
        <w:rPr>
          <w:rFonts w:ascii="Arial" w:hAnsi="Arial" w:cs="Arial"/>
        </w:rPr>
        <w:t>h</w:t>
      </w:r>
      <w:r>
        <w:rPr>
          <w:rFonts w:ascii="Arial" w:hAnsi="Arial" w:cs="Arial"/>
        </w:rPr>
        <w:t xml:space="preserve">ich although they reduce morbidity, may lead to side effects from long-term use; without neglecting the preventive approach through intervention in the habits of individuals, this being the conventional management in Western medicine. </w:t>
      </w:r>
      <w:r w:rsidR="00EC6D4E">
        <w:rPr>
          <w:rFonts w:ascii="Arial" w:hAnsi="Arial" w:cs="Arial"/>
        </w:rPr>
        <w:t>Chinese medicine for its part allows a comprehensive therapeutic approach which involves the use of medicinal herbs, acupuncture, as well as adjustments in the habits of life of individuals with results hig</w:t>
      </w:r>
      <w:r w:rsidR="00C21D81">
        <w:rPr>
          <w:rFonts w:ascii="Arial" w:hAnsi="Arial" w:cs="Arial"/>
        </w:rPr>
        <w:t>h</w:t>
      </w:r>
      <w:r w:rsidR="00EC6D4E">
        <w:rPr>
          <w:rFonts w:ascii="Arial" w:hAnsi="Arial" w:cs="Arial"/>
        </w:rPr>
        <w:t>ly</w:t>
      </w:r>
      <w:r w:rsidR="00C21D81">
        <w:rPr>
          <w:rFonts w:ascii="Arial" w:hAnsi="Arial" w:cs="Arial"/>
        </w:rPr>
        <w:t xml:space="preserve"> promising. Review of the literature shows, finally, that the use of these alternatives allows the significant improvement in serum cholesterol levels, levels of sugar, weight reduction and decrease in the use of conventional medicines. </w:t>
      </w:r>
    </w:p>
    <w:p w14:paraId="23A4F589" w14:textId="77777777" w:rsidR="005B0592" w:rsidRDefault="00ED290B">
      <w:pPr>
        <w:rPr>
          <w:rFonts w:ascii="Arial" w:hAnsi="Arial" w:cs="Arial"/>
          <w:b/>
        </w:rPr>
      </w:pPr>
      <w:r>
        <w:rPr>
          <w:rFonts w:ascii="Arial" w:hAnsi="Arial" w:cs="Arial"/>
          <w:b/>
        </w:rPr>
        <w:t>Introducción</w:t>
      </w:r>
    </w:p>
    <w:p w14:paraId="0A6C586C" w14:textId="71E3324C" w:rsidR="005B0592" w:rsidRDefault="00ED290B">
      <w:pPr>
        <w:jc w:val="both"/>
        <w:rPr>
          <w:rFonts w:ascii="Arial" w:hAnsi="Arial"/>
        </w:rPr>
      </w:pPr>
      <w:r>
        <w:rPr>
          <w:rFonts w:ascii="Arial" w:hAnsi="Arial"/>
        </w:rPr>
        <w:t>En la actualidad el síndrome metabólico ocupa un lugar importante dentro de l</w:t>
      </w:r>
      <w:r w:rsidR="00335DCE">
        <w:rPr>
          <w:rFonts w:ascii="Arial" w:hAnsi="Arial"/>
        </w:rPr>
        <w:t>os síndromes</w:t>
      </w:r>
      <w:r>
        <w:rPr>
          <w:rFonts w:ascii="Arial" w:hAnsi="Arial"/>
        </w:rPr>
        <w:t xml:space="preserve"> con mayor incidencia en la pob</w:t>
      </w:r>
      <w:r w:rsidR="00335DCE">
        <w:rPr>
          <w:rFonts w:ascii="Arial" w:hAnsi="Arial"/>
        </w:rPr>
        <w:t>lación mundial, considerándose u</w:t>
      </w:r>
      <w:r>
        <w:rPr>
          <w:rFonts w:ascii="Arial" w:hAnsi="Arial"/>
        </w:rPr>
        <w:t>n problema de salud pública en varios países, con una prevalencia descrita para el 2009 entre el 34% y el 40% en regiones rurales (considerando pacientes ya diagnosticados con hipertensión arterial)</w:t>
      </w:r>
      <w:r>
        <w:rPr>
          <w:rFonts w:ascii="Arial" w:hAnsi="Arial"/>
          <w:vertAlign w:val="superscript"/>
        </w:rPr>
        <w:t>1</w:t>
      </w:r>
      <w:r>
        <w:rPr>
          <w:rFonts w:ascii="Arial" w:hAnsi="Arial"/>
        </w:rPr>
        <w:t xml:space="preserve">, lo que  lleva a pensar que en las zonas urbanas las cifras deben ser mayores. Si se analiza según género se observa que </w:t>
      </w:r>
      <w:r>
        <w:rPr>
          <w:rFonts w:ascii="Arial" w:hAnsi="Arial"/>
        </w:rPr>
        <w:lastRenderedPageBreak/>
        <w:t>a partir de los 18 años la prevalencia es del 23% para hombres y 50% para mujeres</w:t>
      </w:r>
      <w:r>
        <w:rPr>
          <w:rFonts w:ascii="Arial" w:hAnsi="Arial"/>
          <w:vertAlign w:val="superscript"/>
        </w:rPr>
        <w:t>2</w:t>
      </w:r>
      <w:r>
        <w:rPr>
          <w:rFonts w:ascii="Arial" w:hAnsi="Arial"/>
        </w:rPr>
        <w:t xml:space="preserve">, considerando las condiciones de vida, los valores deben ser mucho mayores, en especial por el inadecuado abordaje que se hace ante esta condición. </w:t>
      </w:r>
    </w:p>
    <w:p w14:paraId="7988DDEE" w14:textId="77777777" w:rsidR="005B0592" w:rsidRDefault="00ED290B">
      <w:pPr>
        <w:jc w:val="both"/>
        <w:rPr>
          <w:rFonts w:ascii="Arial" w:hAnsi="Arial"/>
          <w:vertAlign w:val="superscript"/>
        </w:rPr>
      </w:pPr>
      <w:r>
        <w:rPr>
          <w:rFonts w:ascii="Arial" w:hAnsi="Arial"/>
        </w:rPr>
        <w:t>En Colombia según la ENSIN 2010 (Encuesta Nacional de Situación Nutricional) se establece que de cada dos colombianos, uno tiene sobrepeso, con una incidencia mayor de aumento en la circunferencia abdominal en mujeres que en hombres, en edades entre los 18 y 29 años. Lo anterior se debe a inadecuados hábitos de alimentación, con escasa ingesta de frutas y verduras; sin embargo se evidencia el aumento en la realización de actividad física en la mayoría de los casos con fines de transporte lo que indirectamente influye en la reducción de peso.</w:t>
      </w:r>
      <w:r>
        <w:rPr>
          <w:rFonts w:ascii="Arial" w:hAnsi="Arial"/>
          <w:vertAlign w:val="superscript"/>
        </w:rPr>
        <w:t>3</w:t>
      </w:r>
    </w:p>
    <w:p w14:paraId="12B6E43B" w14:textId="77777777" w:rsidR="005B0592" w:rsidRDefault="00ED290B">
      <w:pPr>
        <w:jc w:val="both"/>
        <w:rPr>
          <w:rFonts w:ascii="Arial" w:hAnsi="Arial"/>
        </w:rPr>
      </w:pPr>
      <w:r>
        <w:rPr>
          <w:rFonts w:ascii="Arial" w:hAnsi="Arial"/>
        </w:rPr>
        <w:t>Dada la trascendencia e importancia de los trastornos metabólicos es de gran utilidad considerar este síndrome desde la perspectiva de otros sistemas médicos complejos, como es el caso de la Medicina China, encontrando sorprendente la baj</w:t>
      </w:r>
      <w:bookmarkStart w:id="0" w:name="_GoBack"/>
      <w:bookmarkEnd w:id="0"/>
      <w:r>
        <w:rPr>
          <w:rFonts w:ascii="Arial" w:hAnsi="Arial"/>
        </w:rPr>
        <w:t>a prevalencia (cerca del 6% en pacientes con IMC mayor a 30)</w:t>
      </w:r>
      <w:r>
        <w:rPr>
          <w:rFonts w:ascii="Arial" w:hAnsi="Arial"/>
          <w:vertAlign w:val="superscript"/>
        </w:rPr>
        <w:t xml:space="preserve">4 </w:t>
      </w:r>
      <w:r>
        <w:rPr>
          <w:rFonts w:ascii="Arial" w:hAnsi="Arial"/>
        </w:rPr>
        <w:t xml:space="preserve">de estas alteraciones metabólicas en su población (en comparación con la población occidental); lo que puede atribuirse a sus adecuados hábitos alimenticios, la interpretación en sí misma de estas alteraciones y sobretodo el manejo integral que reciben, considerando en primer lugar el uso de la herbolaria, dieta y la acupuntura como pilares del  tratamiento. </w:t>
      </w:r>
    </w:p>
    <w:p w14:paraId="0D5E6D26" w14:textId="77777777" w:rsidR="005B0592" w:rsidRDefault="00ED290B">
      <w:pPr>
        <w:rPr>
          <w:rFonts w:ascii="Arial" w:hAnsi="Arial" w:cs="Arial"/>
          <w:b/>
        </w:rPr>
      </w:pPr>
      <w:r>
        <w:rPr>
          <w:rFonts w:ascii="Arial" w:hAnsi="Arial" w:cs="Arial"/>
          <w:b/>
        </w:rPr>
        <w:t>Texto</w:t>
      </w:r>
    </w:p>
    <w:p w14:paraId="7A8E09BE" w14:textId="77777777" w:rsidR="005B0592" w:rsidRDefault="00ED290B">
      <w:pPr>
        <w:tabs>
          <w:tab w:val="left" w:pos="2178"/>
        </w:tabs>
        <w:jc w:val="both"/>
        <w:rPr>
          <w:rFonts w:ascii="Arial" w:hAnsi="Arial"/>
          <w:i/>
        </w:rPr>
      </w:pPr>
      <w:r>
        <w:rPr>
          <w:rFonts w:ascii="Arial" w:hAnsi="Arial"/>
          <w:i/>
        </w:rPr>
        <w:t>VISION DE LA MEDICINA OCCIDENTAL:</w:t>
      </w:r>
    </w:p>
    <w:p w14:paraId="6B47125A" w14:textId="77777777" w:rsidR="005706C4" w:rsidRPr="00B349ED" w:rsidRDefault="005706C4" w:rsidP="005706C4">
      <w:pPr>
        <w:jc w:val="both"/>
        <w:rPr>
          <w:rFonts w:ascii="Arial" w:hAnsi="Arial"/>
          <w:vertAlign w:val="superscript"/>
        </w:rPr>
      </w:pPr>
      <w:r w:rsidRPr="006E64A4">
        <w:rPr>
          <w:rFonts w:ascii="Arial" w:hAnsi="Arial"/>
        </w:rPr>
        <w:t xml:space="preserve">El síndrome metabólico se considera básicamente como un desorden </w:t>
      </w:r>
      <w:r>
        <w:rPr>
          <w:rFonts w:ascii="Arial" w:hAnsi="Arial"/>
        </w:rPr>
        <w:t xml:space="preserve">originado </w:t>
      </w:r>
      <w:r w:rsidRPr="006E64A4">
        <w:rPr>
          <w:rFonts w:ascii="Arial" w:hAnsi="Arial"/>
        </w:rPr>
        <w:t>en la resistencia a</w:t>
      </w:r>
      <w:r>
        <w:rPr>
          <w:rFonts w:ascii="Arial" w:hAnsi="Arial"/>
        </w:rPr>
        <w:t xml:space="preserve"> la Insulina </w:t>
      </w:r>
      <w:r w:rsidRPr="006E64A4">
        <w:rPr>
          <w:rFonts w:ascii="Arial" w:hAnsi="Arial"/>
        </w:rPr>
        <w:t xml:space="preserve">que </w:t>
      </w:r>
      <w:r>
        <w:rPr>
          <w:rFonts w:ascii="Arial" w:hAnsi="Arial"/>
        </w:rPr>
        <w:t>genera</w:t>
      </w:r>
      <w:r w:rsidRPr="006E64A4">
        <w:rPr>
          <w:rFonts w:ascii="Arial" w:hAnsi="Arial"/>
        </w:rPr>
        <w:t xml:space="preserve"> un estado proinflamatorio, que a su vez, lleva a una deficiencia de la acción de la </w:t>
      </w:r>
      <w:r>
        <w:rPr>
          <w:rFonts w:ascii="Arial" w:hAnsi="Arial"/>
        </w:rPr>
        <w:t>misma</w:t>
      </w:r>
      <w:r w:rsidRPr="006E64A4">
        <w:rPr>
          <w:rFonts w:ascii="Arial" w:hAnsi="Arial"/>
        </w:rPr>
        <w:t xml:space="preserve"> sobre la mayoría de los órganos en los que ejerce una importante acción; esta alteración inicial </w:t>
      </w:r>
      <w:r>
        <w:rPr>
          <w:rFonts w:ascii="Arial" w:hAnsi="Arial"/>
        </w:rPr>
        <w:t xml:space="preserve"> puede asociarse además a hiperinsulinismo, </w:t>
      </w:r>
      <w:r w:rsidRPr="006E64A4">
        <w:rPr>
          <w:rFonts w:ascii="Arial" w:hAnsi="Arial"/>
        </w:rPr>
        <w:t>obesidad, hipertensión arterial y finalmente diabetes mellitu</w:t>
      </w:r>
      <w:r>
        <w:rPr>
          <w:rFonts w:ascii="Arial" w:hAnsi="Arial"/>
        </w:rPr>
        <w:t>s.</w:t>
      </w:r>
      <w:r>
        <w:rPr>
          <w:rFonts w:ascii="Arial" w:hAnsi="Arial"/>
          <w:vertAlign w:val="superscript"/>
        </w:rPr>
        <w:t xml:space="preserve">2 </w:t>
      </w:r>
      <w:r>
        <w:rPr>
          <w:rFonts w:ascii="Arial" w:hAnsi="Arial"/>
        </w:rPr>
        <w:t xml:space="preserve">Se considera un cuadro multifactorial en el que se ven involucrados los malos hábitos alimenticios, con una alta ingesta de carbohidratos y grasas, el sedentarismo, tabaquismo, consumo de alcohol e incluso se considera que existe cierto grado de predisposición genética detectada en ciertos pacientes. </w:t>
      </w:r>
    </w:p>
    <w:p w14:paraId="2097F930" w14:textId="77777777" w:rsidR="005706C4" w:rsidRDefault="005706C4" w:rsidP="005706C4">
      <w:pPr>
        <w:pStyle w:val="Textocomentario"/>
        <w:jc w:val="both"/>
        <w:rPr>
          <w:rFonts w:ascii="Arial" w:hAnsi="Arial" w:cs="Arial"/>
          <w:sz w:val="24"/>
          <w:szCs w:val="24"/>
        </w:rPr>
      </w:pPr>
      <w:r w:rsidRPr="00EB287A">
        <w:rPr>
          <w:rFonts w:ascii="Arial" w:hAnsi="Arial" w:cs="Arial"/>
          <w:sz w:val="24"/>
          <w:szCs w:val="24"/>
        </w:rPr>
        <w:t>Para entender la fisiopatología del síndrome metabólico se debe considerar que el tejido adiposo, el hígado, el músculo estriado y el páncreas (en especial este último) intervienen en la regulación de los niveles de azúcar en sangre y el metabolismo de los ácidos grasos en el organismo</w:t>
      </w:r>
      <w:r>
        <w:rPr>
          <w:rFonts w:ascii="Arial" w:hAnsi="Arial" w:cs="Arial"/>
          <w:sz w:val="24"/>
          <w:szCs w:val="24"/>
        </w:rPr>
        <w:t>.</w:t>
      </w:r>
      <w:r w:rsidRPr="00EB287A">
        <w:rPr>
          <w:rFonts w:ascii="Arial" w:hAnsi="Arial" w:cs="Arial"/>
          <w:sz w:val="24"/>
          <w:szCs w:val="24"/>
        </w:rPr>
        <w:t xml:space="preserve"> La falta de acción de la insulina, aún a pes</w:t>
      </w:r>
      <w:r>
        <w:rPr>
          <w:rFonts w:ascii="Arial" w:hAnsi="Arial" w:cs="Arial"/>
          <w:sz w:val="24"/>
          <w:szCs w:val="24"/>
        </w:rPr>
        <w:t>ar de darse una adecuada interac</w:t>
      </w:r>
      <w:r w:rsidRPr="00EB287A">
        <w:rPr>
          <w:rFonts w:ascii="Arial" w:hAnsi="Arial" w:cs="Arial"/>
          <w:sz w:val="24"/>
          <w:szCs w:val="24"/>
        </w:rPr>
        <w:t xml:space="preserve">ción de la hormona con el receptor específico, se relaciona con un daño en las vías de señalización intracelular. Éstas involucran diversas proteínas que sufren fosforilaciones y defosforilaciones sucesivas hasta llegar a activar proteínas reguladoras de la expresión de determinadas regiones del ADN. Una de éstas regiones reguladas corresponde a aquella que codifica para la síntesis de proteínas constitutivas de los canales de glucosa (GLUT). La síntesis y traslocación de estas proteínas a la </w:t>
      </w:r>
      <w:r w:rsidRPr="00EB287A">
        <w:rPr>
          <w:rFonts w:ascii="Arial" w:hAnsi="Arial" w:cs="Arial"/>
          <w:sz w:val="24"/>
          <w:szCs w:val="24"/>
        </w:rPr>
        <w:lastRenderedPageBreak/>
        <w:t>membrana celular determina la capacidad de captación de glucosa por parte de la célula;</w:t>
      </w:r>
      <w:r>
        <w:rPr>
          <w:rFonts w:ascii="Arial" w:hAnsi="Arial"/>
        </w:rPr>
        <w:t xml:space="preserve"> </w:t>
      </w:r>
      <w:r w:rsidRPr="00B37650">
        <w:rPr>
          <w:rFonts w:ascii="Arial" w:hAnsi="Arial" w:cs="Arial"/>
          <w:sz w:val="24"/>
          <w:szCs w:val="24"/>
        </w:rPr>
        <w:t>La resistencia a la insulina es un fenómeno que se presenta predominantem</w:t>
      </w:r>
      <w:r>
        <w:rPr>
          <w:rFonts w:ascii="Arial" w:hAnsi="Arial" w:cs="Arial"/>
          <w:sz w:val="24"/>
          <w:szCs w:val="24"/>
        </w:rPr>
        <w:t>ente en músculo esquelético y el</w:t>
      </w:r>
      <w:r w:rsidRPr="00B37650">
        <w:rPr>
          <w:rFonts w:ascii="Arial" w:hAnsi="Arial" w:cs="Arial"/>
          <w:sz w:val="24"/>
          <w:szCs w:val="24"/>
        </w:rPr>
        <w:t xml:space="preserve"> hígado y conlleva un incremento en los niveles de la hormona, en un intento por compensar la falta de acción de la misma. </w:t>
      </w:r>
    </w:p>
    <w:p w14:paraId="013F6EE6" w14:textId="77777777" w:rsidR="005706C4" w:rsidRPr="00B37650" w:rsidRDefault="005706C4" w:rsidP="005706C4">
      <w:pPr>
        <w:pStyle w:val="Textocomentario"/>
        <w:jc w:val="both"/>
        <w:rPr>
          <w:rFonts w:ascii="Arial" w:hAnsi="Arial" w:cs="Arial"/>
          <w:sz w:val="24"/>
          <w:szCs w:val="24"/>
        </w:rPr>
      </w:pPr>
      <w:r w:rsidRPr="00B37650">
        <w:rPr>
          <w:rFonts w:ascii="Arial" w:hAnsi="Arial" w:cs="Arial"/>
          <w:sz w:val="24"/>
          <w:szCs w:val="24"/>
        </w:rPr>
        <w:t>El exceso de insulina disponible en la economía impacta otros órganos y tejidos que conservan aún intactas sus vías de señalización intracelular. Así, por ejemplo, en el tejido adiposo la hiperinsulinemia inhibe la lipólisis e induce hipertrofia y exceso de acumulación de grasa visceral y subcutánea</w:t>
      </w:r>
      <w:r>
        <w:t>.</w:t>
      </w:r>
      <w:r>
        <w:rPr>
          <w:rFonts w:ascii="Arial" w:hAnsi="Arial"/>
          <w:color w:val="FF0000"/>
        </w:rPr>
        <w:t xml:space="preserve"> </w:t>
      </w:r>
      <w:r w:rsidRPr="00B37650">
        <w:rPr>
          <w:rFonts w:ascii="Arial" w:hAnsi="Arial" w:cs="Arial"/>
          <w:sz w:val="24"/>
          <w:szCs w:val="24"/>
        </w:rPr>
        <w:t>Diversos mediadores proinflamatorios (Leptina, Galanina, Adiponectina, etc.) pueden regular la resistenc</w:t>
      </w:r>
      <w:r>
        <w:rPr>
          <w:rFonts w:ascii="Arial" w:hAnsi="Arial" w:cs="Arial"/>
          <w:sz w:val="24"/>
          <w:szCs w:val="24"/>
        </w:rPr>
        <w:t>i</w:t>
      </w:r>
      <w:r w:rsidRPr="00B37650">
        <w:rPr>
          <w:rFonts w:ascii="Arial" w:hAnsi="Arial" w:cs="Arial"/>
          <w:sz w:val="24"/>
          <w:szCs w:val="24"/>
        </w:rPr>
        <w:t xml:space="preserve">a a la insulina y juegan un papel crucial en la génesis de la obesidad, de la diabetes tipo 2 y del riesgo cardiovascular derivado de estas dos condiciones. </w:t>
      </w:r>
      <w:r w:rsidRPr="00B37650">
        <w:rPr>
          <w:rFonts w:ascii="Arial" w:hAnsi="Arial" w:cs="Arial"/>
          <w:sz w:val="24"/>
          <w:szCs w:val="24"/>
          <w:vertAlign w:val="superscript"/>
        </w:rPr>
        <w:t xml:space="preserve"> 5</w:t>
      </w:r>
      <w:r w:rsidRPr="00B37650">
        <w:rPr>
          <w:rFonts w:ascii="Arial" w:hAnsi="Arial" w:cs="Arial"/>
          <w:sz w:val="24"/>
          <w:szCs w:val="24"/>
        </w:rPr>
        <w:t>(Anexo gráfica 1)</w:t>
      </w:r>
    </w:p>
    <w:p w14:paraId="798E1377" w14:textId="77777777" w:rsidR="005706C4" w:rsidRPr="00B37650" w:rsidRDefault="005706C4" w:rsidP="005706C4">
      <w:pPr>
        <w:pStyle w:val="Textocomentario"/>
        <w:jc w:val="both"/>
        <w:rPr>
          <w:rFonts w:ascii="Arial" w:hAnsi="Arial" w:cs="Arial"/>
          <w:sz w:val="24"/>
          <w:szCs w:val="24"/>
        </w:rPr>
      </w:pPr>
      <w:r w:rsidRPr="00B37650">
        <w:rPr>
          <w:rFonts w:ascii="Arial" w:hAnsi="Arial" w:cs="Arial"/>
          <w:sz w:val="24"/>
          <w:szCs w:val="24"/>
        </w:rPr>
        <w:t>El riesgo cardiovascular relacionado con la resistencia a la insulina se asocia con enfermedad MACROVASCULAR. De hecho, el control de la glucemia plasmática, que se asocia con drástica reducción de la enfermedad microvascular renal y retiniana, no modifica el riesgo cardiovascular.</w:t>
      </w:r>
      <w:r>
        <w:rPr>
          <w:rFonts w:ascii="Arial" w:hAnsi="Arial" w:cs="Arial"/>
          <w:sz w:val="24"/>
          <w:szCs w:val="24"/>
        </w:rPr>
        <w:t xml:space="preserve"> </w:t>
      </w:r>
      <w:r w:rsidRPr="00B37650">
        <w:rPr>
          <w:rFonts w:ascii="Arial" w:hAnsi="Arial" w:cs="Arial"/>
          <w:sz w:val="24"/>
          <w:szCs w:val="24"/>
        </w:rPr>
        <w:t>La enfermedad aterosclerótica se relaciona inicialmente con el daño endotelial de arterias elásticas y musculares, que es seguido por una fase de intensa proliferación (células musculares de fenotipo no contráctil, fibroblastos) y masiva acumulación subendotelial de lipoproteínas de baja densidad. Estos dos últimos componentes fisiopatológicos son claramente fomentados por la hiperinsulin</w:t>
      </w:r>
      <w:r>
        <w:rPr>
          <w:rFonts w:ascii="Arial" w:hAnsi="Arial" w:cs="Arial"/>
          <w:sz w:val="24"/>
          <w:szCs w:val="24"/>
        </w:rPr>
        <w:t>emia subyacente; S</w:t>
      </w:r>
      <w:r w:rsidRPr="00B37650">
        <w:rPr>
          <w:rFonts w:ascii="Arial" w:hAnsi="Arial" w:cs="Arial"/>
          <w:sz w:val="24"/>
          <w:szCs w:val="24"/>
        </w:rPr>
        <w:t>in embargo estudios recientes demuestran que un aumento en la realización de actividad física puede disminuir este proceso patológico mejorando la resistencia a la insulina a nivel vascular y disminuyendo los procesos ateroscleróticos, con la reducción significativa del riesgo cardiovascular en pacientes con trastornos metabólicos ya instaurados.</w:t>
      </w:r>
      <w:r w:rsidRPr="00B37650">
        <w:rPr>
          <w:rFonts w:ascii="Arial" w:hAnsi="Arial" w:cs="Arial"/>
          <w:sz w:val="24"/>
          <w:szCs w:val="24"/>
          <w:vertAlign w:val="superscript"/>
        </w:rPr>
        <w:t>6</w:t>
      </w:r>
    </w:p>
    <w:p w14:paraId="5A8DB8FC" w14:textId="77777777" w:rsidR="005706C4" w:rsidRPr="00B37650" w:rsidRDefault="005706C4" w:rsidP="005706C4">
      <w:pPr>
        <w:pStyle w:val="Textocomentario"/>
        <w:jc w:val="both"/>
        <w:rPr>
          <w:rFonts w:ascii="Arial" w:hAnsi="Arial" w:cs="Arial"/>
          <w:sz w:val="24"/>
          <w:szCs w:val="24"/>
        </w:rPr>
      </w:pPr>
      <w:r w:rsidRPr="00B37650">
        <w:rPr>
          <w:rFonts w:ascii="Arial" w:hAnsi="Arial" w:cs="Arial"/>
          <w:sz w:val="24"/>
          <w:szCs w:val="24"/>
        </w:rPr>
        <w:t>El diagnóstico</w:t>
      </w:r>
      <w:r>
        <w:rPr>
          <w:rFonts w:ascii="Arial" w:hAnsi="Arial" w:cs="Arial"/>
          <w:sz w:val="24"/>
          <w:szCs w:val="24"/>
        </w:rPr>
        <w:t xml:space="preserve"> en la medicina occidental</w:t>
      </w:r>
      <w:r w:rsidRPr="00B37650">
        <w:rPr>
          <w:rFonts w:ascii="Arial" w:hAnsi="Arial" w:cs="Arial"/>
          <w:sz w:val="24"/>
          <w:szCs w:val="24"/>
        </w:rPr>
        <w:t xml:space="preserve"> se hace de acuerdo con criterios que, para el caso de Colombia, desde 2005 corresponden a los emanados por la IDF (International Diabetes Federation).</w:t>
      </w:r>
      <w:r>
        <w:rPr>
          <w:rFonts w:ascii="Arial" w:hAnsi="Arial" w:cs="Arial"/>
          <w:sz w:val="24"/>
          <w:szCs w:val="24"/>
        </w:rPr>
        <w:t xml:space="preserve"> </w:t>
      </w:r>
      <w:r w:rsidRPr="00B37650">
        <w:rPr>
          <w:rFonts w:ascii="Arial" w:hAnsi="Arial" w:cs="Arial"/>
          <w:sz w:val="24"/>
          <w:szCs w:val="24"/>
        </w:rPr>
        <w:t xml:space="preserve">Estos criterios incluyen obesidad abdominal y al menos dos de los siguientes: Hipertensión arterial, Hipertrigliceridemia, Colesterol HDL bajo, glucemia anormalmente elevada en ayuno o intolerancia a la glucosa. </w:t>
      </w:r>
    </w:p>
    <w:p w14:paraId="09FE9190" w14:textId="77777777" w:rsidR="005706C4" w:rsidRDefault="005706C4" w:rsidP="005706C4">
      <w:pPr>
        <w:tabs>
          <w:tab w:val="left" w:pos="2178"/>
        </w:tabs>
        <w:jc w:val="both"/>
        <w:rPr>
          <w:rFonts w:ascii="Arial" w:hAnsi="Arial"/>
        </w:rPr>
      </w:pPr>
      <w:r w:rsidRPr="00B37650">
        <w:rPr>
          <w:rFonts w:ascii="Arial" w:hAnsi="Arial" w:cs="Arial"/>
        </w:rPr>
        <w:t>Una vez hecho el diagnóstico el paciente se clasifica en una categoría de riesgo cardiovascular y se aborda desde la perspectiva inicial de modificación en</w:t>
      </w:r>
      <w:r>
        <w:rPr>
          <w:rFonts w:ascii="Arial" w:hAnsi="Arial" w:cs="Arial"/>
        </w:rPr>
        <w:t xml:space="preserve"> el estilo de vida, que incluye el</w:t>
      </w:r>
      <w:r>
        <w:t xml:space="preserve"> </w:t>
      </w:r>
      <w:r>
        <w:rPr>
          <w:rFonts w:ascii="Arial" w:hAnsi="Arial"/>
        </w:rPr>
        <w:t xml:space="preserve">mejoramiento de los hábitos alimenticios, evitando el consumo de carbohidratos y grasas, realización de actividad física según las características de cada individuo, así como la suspensión del tabaquismo y alcohol. Finalmente si las medidas previas no son suficientes, se inicia el manejo farmacológico considerando las alteraciones paraclínicas, con el uso de estatinas, hipoglicemiantes, antihipertensivos u otros según el caso, considerando que al ser una categoría diagnóstica permite la intervención en múltiples niveles para cada paciente. </w:t>
      </w:r>
    </w:p>
    <w:p w14:paraId="0622F804" w14:textId="77777777" w:rsidR="005706C4" w:rsidRDefault="005706C4" w:rsidP="005706C4">
      <w:pPr>
        <w:tabs>
          <w:tab w:val="left" w:pos="2178"/>
        </w:tabs>
        <w:jc w:val="both"/>
        <w:rPr>
          <w:rFonts w:ascii="Arial" w:hAnsi="Arial"/>
          <w:vertAlign w:val="superscript"/>
        </w:rPr>
      </w:pPr>
      <w:r w:rsidRPr="00C155E0">
        <w:rPr>
          <w:rFonts w:ascii="Arial" w:hAnsi="Arial"/>
        </w:rPr>
        <w:lastRenderedPageBreak/>
        <w:t xml:space="preserve">A pesar de presentar un abordaje inicialmente integral del síndrome metabólico por parte de la medicina occidental, en ocasiones no se consigue un resultado 100% satisfactorio ya que se dejan de lado aspectos tan importantes como el estado emocional, social y familiar de los pacientes lo que impacta positiva o negativamente en </w:t>
      </w:r>
      <w:r>
        <w:rPr>
          <w:rFonts w:ascii="Arial" w:hAnsi="Arial"/>
        </w:rPr>
        <w:t>el desarrollo de complicaciones.</w:t>
      </w:r>
      <w:r>
        <w:rPr>
          <w:rFonts w:ascii="Arial" w:hAnsi="Arial"/>
          <w:vertAlign w:val="superscript"/>
        </w:rPr>
        <w:t>1</w:t>
      </w:r>
    </w:p>
    <w:p w14:paraId="106B7DF0" w14:textId="77777777" w:rsidR="005B0592" w:rsidRDefault="00ED290B">
      <w:pPr>
        <w:tabs>
          <w:tab w:val="left" w:pos="2178"/>
        </w:tabs>
        <w:jc w:val="both"/>
        <w:rPr>
          <w:rFonts w:ascii="Arial" w:hAnsi="Arial"/>
          <w:i/>
        </w:rPr>
      </w:pPr>
      <w:r>
        <w:rPr>
          <w:rFonts w:ascii="Arial" w:hAnsi="Arial"/>
          <w:i/>
        </w:rPr>
        <w:t>VISION DE LA MEDICINA TRADICIONAL CHINA</w:t>
      </w:r>
    </w:p>
    <w:p w14:paraId="06CB159D" w14:textId="77777777" w:rsidR="005B0592" w:rsidRDefault="00ED290B">
      <w:pPr>
        <w:tabs>
          <w:tab w:val="left" w:pos="2178"/>
        </w:tabs>
        <w:jc w:val="both"/>
        <w:rPr>
          <w:rFonts w:ascii="Arial" w:hAnsi="Arial"/>
          <w:vertAlign w:val="superscript"/>
        </w:rPr>
      </w:pPr>
      <w:r>
        <w:rPr>
          <w:rFonts w:ascii="Arial" w:hAnsi="Arial"/>
        </w:rPr>
        <w:t>Aunque para muchos médicos la existencia de otros abordajes diagnóstico-terapéuticos resulta inútil y poco confiable; es importante considerar la Medicina China como un sistema médico complejo que aborda diferentes dimensiones según su racionalidad.</w:t>
      </w:r>
      <w:r>
        <w:rPr>
          <w:rFonts w:ascii="Arial" w:hAnsi="Arial"/>
          <w:vertAlign w:val="superscript"/>
        </w:rPr>
        <w:t>7</w:t>
      </w:r>
    </w:p>
    <w:p w14:paraId="3808EF11" w14:textId="77777777" w:rsidR="005B0592" w:rsidRDefault="00ED290B">
      <w:pPr>
        <w:tabs>
          <w:tab w:val="left" w:pos="2178"/>
        </w:tabs>
        <w:jc w:val="both"/>
        <w:rPr>
          <w:rFonts w:ascii="Arial" w:hAnsi="Arial"/>
        </w:rPr>
      </w:pPr>
      <w:r>
        <w:rPr>
          <w:rFonts w:ascii="Arial" w:hAnsi="Arial"/>
        </w:rPr>
        <w:t xml:space="preserve">Su </w:t>
      </w:r>
      <w:r>
        <w:rPr>
          <w:rFonts w:ascii="Arial" w:hAnsi="Arial"/>
          <w:b/>
          <w:i/>
        </w:rPr>
        <w:t>Doctrina</w:t>
      </w:r>
      <w:r>
        <w:rPr>
          <w:rFonts w:ascii="Arial" w:hAnsi="Arial"/>
        </w:rPr>
        <w:t xml:space="preserve"> está fundamentada en el taoísmo, configurando conceptos de vital importancia como lo son el Qi, Yin-Yang y teoría de los cinco elementos; entendiendo el proceso de enfermedad como el desequilibrio de las energías o cuando existen ciclos de control inadecuados en el organismo. </w:t>
      </w:r>
    </w:p>
    <w:p w14:paraId="49C84082" w14:textId="77777777" w:rsidR="005B0592" w:rsidRDefault="00ED290B">
      <w:pPr>
        <w:tabs>
          <w:tab w:val="left" w:pos="2178"/>
        </w:tabs>
        <w:jc w:val="both"/>
        <w:rPr>
          <w:rFonts w:ascii="Arial" w:hAnsi="Arial"/>
        </w:rPr>
      </w:pPr>
      <w:r>
        <w:rPr>
          <w:rFonts w:ascii="Arial" w:hAnsi="Arial"/>
        </w:rPr>
        <w:t xml:space="preserve">La </w:t>
      </w:r>
      <w:r>
        <w:rPr>
          <w:rFonts w:ascii="Arial" w:hAnsi="Arial"/>
          <w:b/>
          <w:i/>
        </w:rPr>
        <w:t xml:space="preserve">Morfología </w:t>
      </w:r>
      <w:r>
        <w:rPr>
          <w:rFonts w:ascii="Arial" w:hAnsi="Arial"/>
        </w:rPr>
        <w:t>explica el funcionamiento corporal como la interacción entre los tres tesoros (Xue-Sangre, Jinye-Líquidos orgánicos) influenciando en el funcionamiento de órganos específicos y en la circulación energética por los  meridianos.</w:t>
      </w:r>
    </w:p>
    <w:p w14:paraId="225F9332" w14:textId="77777777" w:rsidR="005B0592" w:rsidRDefault="00ED290B">
      <w:pPr>
        <w:tabs>
          <w:tab w:val="left" w:pos="2178"/>
        </w:tabs>
        <w:jc w:val="both"/>
        <w:rPr>
          <w:rFonts w:ascii="Arial" w:hAnsi="Arial"/>
        </w:rPr>
      </w:pPr>
      <w:r>
        <w:rPr>
          <w:rFonts w:ascii="Arial" w:hAnsi="Arial"/>
        </w:rPr>
        <w:t xml:space="preserve">La </w:t>
      </w:r>
      <w:r>
        <w:rPr>
          <w:rFonts w:ascii="Arial" w:hAnsi="Arial"/>
          <w:b/>
          <w:i/>
        </w:rPr>
        <w:t>Dinámica</w:t>
      </w:r>
      <w:r>
        <w:rPr>
          <w:rFonts w:ascii="Arial" w:hAnsi="Arial"/>
          <w:i/>
        </w:rPr>
        <w:t xml:space="preserve"> vital </w:t>
      </w:r>
      <w:r>
        <w:rPr>
          <w:rFonts w:ascii="Arial" w:hAnsi="Arial"/>
        </w:rPr>
        <w:t xml:space="preserve">se basa en la concepción del hombre como un todo gobernado por energía, generando equilibrio entre el Yin-Yang y los cinco elementos, cuando no existen alteraciones entre estas constantes, el individuo presenta una capacidad importante de autorregulación con el fin de mantener su estado de salud adecuado. </w:t>
      </w:r>
    </w:p>
    <w:p w14:paraId="479EA215" w14:textId="07F7C8F0" w:rsidR="005B0592" w:rsidRDefault="00335DCE">
      <w:pPr>
        <w:tabs>
          <w:tab w:val="left" w:pos="2178"/>
        </w:tabs>
        <w:jc w:val="both"/>
        <w:rPr>
          <w:rFonts w:ascii="Arial" w:hAnsi="Arial"/>
          <w:vertAlign w:val="superscript"/>
        </w:rPr>
      </w:pPr>
      <w:r>
        <w:rPr>
          <w:rFonts w:ascii="Arial" w:hAnsi="Arial"/>
        </w:rPr>
        <w:t xml:space="preserve">El </w:t>
      </w:r>
      <w:r w:rsidR="00ED290B">
        <w:rPr>
          <w:rFonts w:ascii="Arial" w:hAnsi="Arial"/>
          <w:b/>
          <w:i/>
        </w:rPr>
        <w:t>Diagnóstico</w:t>
      </w:r>
      <w:r w:rsidR="00ED290B">
        <w:rPr>
          <w:rFonts w:ascii="Arial" w:hAnsi="Arial"/>
        </w:rPr>
        <w:t xml:space="preserve"> se basa en encontrar la raíz del desequilibrio energético que lleva a la enfermedad, contemplando los ocho principios además de los cuatro métodos diagnósticos; finalmente el </w:t>
      </w:r>
      <w:r w:rsidR="00ED290B">
        <w:rPr>
          <w:rFonts w:ascii="Arial" w:hAnsi="Arial"/>
          <w:b/>
          <w:i/>
        </w:rPr>
        <w:t xml:space="preserve">Tratamiento </w:t>
      </w:r>
      <w:r w:rsidR="00ED290B">
        <w:rPr>
          <w:rFonts w:ascii="Arial" w:hAnsi="Arial"/>
        </w:rPr>
        <w:t xml:space="preserve">consiste en reestablecer el adecuado flujo de energía, para lo cual se cuenta con herramientas como la acupuntura, herbología, </w:t>
      </w:r>
      <w:r>
        <w:rPr>
          <w:rFonts w:ascii="Arial" w:hAnsi="Arial"/>
        </w:rPr>
        <w:t>recomendaciones nutricionales,</w:t>
      </w:r>
      <w:r w:rsidR="00ED290B">
        <w:rPr>
          <w:rFonts w:ascii="Arial" w:hAnsi="Arial"/>
        </w:rPr>
        <w:t xml:space="preserve"> masaje, meditación y ejercicios terapéuticos.</w:t>
      </w:r>
      <w:r w:rsidR="00ED290B">
        <w:rPr>
          <w:rFonts w:ascii="Arial" w:hAnsi="Arial"/>
          <w:vertAlign w:val="superscript"/>
        </w:rPr>
        <w:t>6</w:t>
      </w:r>
    </w:p>
    <w:p w14:paraId="2BBCCCF5" w14:textId="77777777" w:rsidR="005B0592" w:rsidRDefault="00ED290B">
      <w:pPr>
        <w:tabs>
          <w:tab w:val="left" w:pos="2178"/>
        </w:tabs>
        <w:jc w:val="both"/>
        <w:rPr>
          <w:rFonts w:ascii="Arial" w:hAnsi="Arial"/>
        </w:rPr>
      </w:pPr>
      <w:r>
        <w:rPr>
          <w:rFonts w:ascii="Arial" w:hAnsi="Arial"/>
        </w:rPr>
        <w:t>Considerando la racionalidad de la Medicina Tradicional China  según el Huang di Neijing los síndromes equivalentes al trastorno metabólico son el  resultado de la sobrealimentación, el síndrome XiaoKe (Diabetes) por  la deficiencia de Yin de Riñón, con calor y sequedad</w:t>
      </w:r>
      <w:r>
        <w:rPr>
          <w:rFonts w:ascii="Arial" w:hAnsi="Arial"/>
          <w:vertAlign w:val="superscript"/>
        </w:rPr>
        <w:t>8</w:t>
      </w:r>
      <w:r>
        <w:rPr>
          <w:rFonts w:ascii="Arial" w:hAnsi="Arial"/>
        </w:rPr>
        <w:t>, así como alteraciones a nivel de hígado y bazo.</w:t>
      </w:r>
    </w:p>
    <w:p w14:paraId="050F97DE" w14:textId="77777777" w:rsidR="005B0592" w:rsidRDefault="005B0592">
      <w:pPr>
        <w:tabs>
          <w:tab w:val="left" w:pos="2178"/>
        </w:tabs>
        <w:jc w:val="both"/>
        <w:rPr>
          <w:rFonts w:ascii="Arial" w:hAnsi="Arial"/>
          <w:u w:val="single"/>
        </w:rPr>
      </w:pPr>
    </w:p>
    <w:p w14:paraId="4241D05A" w14:textId="77777777" w:rsidR="005B0592" w:rsidRDefault="00ED290B">
      <w:pPr>
        <w:tabs>
          <w:tab w:val="left" w:pos="2178"/>
        </w:tabs>
        <w:jc w:val="both"/>
        <w:rPr>
          <w:rFonts w:ascii="Arial" w:hAnsi="Arial"/>
        </w:rPr>
      </w:pPr>
      <w:r>
        <w:rPr>
          <w:rFonts w:ascii="Arial" w:hAnsi="Arial"/>
        </w:rPr>
        <w:t>DISFUNCIÓN DE BAZO</w:t>
      </w:r>
    </w:p>
    <w:p w14:paraId="71E2E914" w14:textId="77777777" w:rsidR="005B0592" w:rsidRDefault="00ED290B">
      <w:pPr>
        <w:tabs>
          <w:tab w:val="left" w:pos="2178"/>
        </w:tabs>
        <w:jc w:val="both"/>
        <w:rPr>
          <w:rFonts w:ascii="Arial" w:hAnsi="Arial"/>
          <w:vertAlign w:val="superscript"/>
        </w:rPr>
      </w:pPr>
      <w:r>
        <w:rPr>
          <w:rFonts w:ascii="Arial" w:hAnsi="Arial"/>
        </w:rPr>
        <w:t>Se presenta generalmente como resultado del exceso de trabajo, dieta irregular, patologías asociadas por la sobre dominancia del hígado sobre el bazo</w:t>
      </w:r>
      <w:r>
        <w:rPr>
          <w:rFonts w:ascii="Arial" w:hAnsi="Arial"/>
          <w:vertAlign w:val="superscript"/>
        </w:rPr>
        <w:t>9</w:t>
      </w:r>
      <w:r>
        <w:rPr>
          <w:rFonts w:ascii="Arial" w:hAnsi="Arial"/>
        </w:rPr>
        <w:t xml:space="preserve">, lo anterior genera principalmente humedad que conduce a una acumulación de flema, que puede equipararse con la alteración del metabolismo lipídico; se </w:t>
      </w:r>
      <w:r>
        <w:rPr>
          <w:rFonts w:ascii="Arial" w:hAnsi="Arial"/>
        </w:rPr>
        <w:lastRenderedPageBreak/>
        <w:t>presenta con náuseas, sensación de plenitud en el pecho, lengua pálida, pulso vacío, se asocia a dieta inadecuada en exceso y con horarios irregulares.</w:t>
      </w:r>
      <w:r>
        <w:rPr>
          <w:rFonts w:ascii="Arial" w:hAnsi="Arial"/>
          <w:vertAlign w:val="superscript"/>
        </w:rPr>
        <w:t>10</w:t>
      </w:r>
    </w:p>
    <w:p w14:paraId="2914A30C" w14:textId="77777777" w:rsidR="005B0592" w:rsidRDefault="00ED290B">
      <w:pPr>
        <w:tabs>
          <w:tab w:val="left" w:pos="2178"/>
        </w:tabs>
        <w:jc w:val="both"/>
        <w:rPr>
          <w:rFonts w:ascii="Arial" w:hAnsi="Arial"/>
        </w:rPr>
      </w:pPr>
      <w:r>
        <w:rPr>
          <w:rFonts w:ascii="Arial" w:hAnsi="Arial"/>
        </w:rPr>
        <w:t>DISFUNCIÓN DE RIÑÓN</w:t>
      </w:r>
    </w:p>
    <w:p w14:paraId="17BFC3BA" w14:textId="77777777" w:rsidR="005B0592" w:rsidRDefault="00ED290B">
      <w:pPr>
        <w:tabs>
          <w:tab w:val="left" w:pos="2178"/>
        </w:tabs>
        <w:jc w:val="both"/>
        <w:rPr>
          <w:rFonts w:ascii="Arial" w:hAnsi="Arial"/>
          <w:vertAlign w:val="superscript"/>
        </w:rPr>
      </w:pPr>
      <w:r>
        <w:rPr>
          <w:rFonts w:ascii="Arial" w:hAnsi="Arial"/>
        </w:rPr>
        <w:t>Se debe a la insuficiencia del Yin, se presenta una deficiencia de líquidos lo que conduce a boca seca de predominio nocturno, sed, estreñimiento y disminución en la diuresis además de coluria (síntomas presentes en la diabetes); manifestaciones como el calor en cinco corazones (palmas, plantas y tórax), diaforesis nocturna, lengua roja y pulso rápido, lo anterior se da por la imposibilidad del Yin de riñón para anclar el Qi durante la noche.</w:t>
      </w:r>
      <w:r>
        <w:rPr>
          <w:rFonts w:ascii="Arial" w:hAnsi="Arial"/>
          <w:vertAlign w:val="superscript"/>
        </w:rPr>
        <w:t>9</w:t>
      </w:r>
    </w:p>
    <w:p w14:paraId="32C46B2C" w14:textId="77777777" w:rsidR="005B0592" w:rsidRDefault="00ED290B">
      <w:pPr>
        <w:tabs>
          <w:tab w:val="left" w:pos="2178"/>
        </w:tabs>
        <w:jc w:val="both"/>
        <w:rPr>
          <w:rFonts w:ascii="Arial" w:hAnsi="Arial"/>
          <w:vertAlign w:val="superscript"/>
        </w:rPr>
      </w:pPr>
      <w:r>
        <w:rPr>
          <w:rFonts w:ascii="Arial" w:hAnsi="Arial"/>
        </w:rPr>
        <w:t>En cuanto a su etiología es importante considerar que es secundario a procesos crónicos a nivel de Hígado, Corazón o Pulmón, exceso laboral, actividad sexual excesiva (la cual agota la esencia del Riñón), o tonificación del Yang del Riñón por medicación inadecuada.</w:t>
      </w:r>
      <w:r>
        <w:rPr>
          <w:rFonts w:ascii="Arial" w:hAnsi="Arial"/>
          <w:vertAlign w:val="superscript"/>
        </w:rPr>
        <w:t>10</w:t>
      </w:r>
    </w:p>
    <w:p w14:paraId="34503E18" w14:textId="77777777" w:rsidR="005B0592" w:rsidRDefault="00ED290B">
      <w:pPr>
        <w:tabs>
          <w:tab w:val="left" w:pos="2178"/>
        </w:tabs>
        <w:jc w:val="both"/>
        <w:rPr>
          <w:rFonts w:ascii="Arial" w:hAnsi="Arial"/>
        </w:rPr>
      </w:pPr>
      <w:r>
        <w:rPr>
          <w:rFonts w:ascii="Arial" w:hAnsi="Arial"/>
        </w:rPr>
        <w:t>DISFUNCIÓN DE HIGADO</w:t>
      </w:r>
    </w:p>
    <w:p w14:paraId="056AE0A9" w14:textId="77777777" w:rsidR="005B0592" w:rsidRDefault="00ED290B">
      <w:pPr>
        <w:tabs>
          <w:tab w:val="left" w:pos="2178"/>
        </w:tabs>
        <w:jc w:val="both"/>
        <w:rPr>
          <w:rFonts w:ascii="Arial" w:hAnsi="Arial"/>
          <w:lang w:val="es-CO"/>
        </w:rPr>
      </w:pPr>
      <w:r>
        <w:rPr>
          <w:rFonts w:ascii="Arial" w:hAnsi="Arial"/>
        </w:rPr>
        <w:t>Es el órgano en el cual se ven mejor representadas las alteraciones producto de las emociones, en particular la cólera; además de la dieta (consumo de alimentos grasos y calientes) que conduce inevitablemente a un estancamiento del Qi del hígado, llevando a opresión en el pecho y suspiros; secundario a esto se presenta un ascenso del fuego de hígado que lleva a un aumento en las cifras de tensión arterial.</w:t>
      </w:r>
      <w:r>
        <w:rPr>
          <w:rFonts w:ascii="Arial" w:hAnsi="Arial"/>
          <w:vertAlign w:val="superscript"/>
        </w:rPr>
        <w:t>8,9</w:t>
      </w:r>
      <w:r>
        <w:rPr>
          <w:rFonts w:ascii="Arial" w:hAnsi="Arial"/>
        </w:rPr>
        <w:t xml:space="preserve"> (Anexo gráfica 2)</w:t>
      </w:r>
    </w:p>
    <w:p w14:paraId="703960E0" w14:textId="77777777" w:rsidR="005B0592" w:rsidRDefault="00ED290B">
      <w:pPr>
        <w:rPr>
          <w:rFonts w:ascii="Arial" w:hAnsi="Arial" w:cs="Arial"/>
          <w:i/>
        </w:rPr>
      </w:pPr>
      <w:r>
        <w:rPr>
          <w:rFonts w:ascii="Arial" w:hAnsi="Arial"/>
          <w:i/>
        </w:rPr>
        <w:t>TRATAMIENTO:</w:t>
      </w:r>
    </w:p>
    <w:p w14:paraId="64465507" w14:textId="77777777" w:rsidR="005B0592" w:rsidRDefault="00ED290B">
      <w:pPr>
        <w:tabs>
          <w:tab w:val="left" w:pos="2178"/>
        </w:tabs>
        <w:jc w:val="both"/>
        <w:rPr>
          <w:rFonts w:ascii="Arial" w:hAnsi="Arial"/>
        </w:rPr>
      </w:pPr>
      <w:r>
        <w:rPr>
          <w:rFonts w:ascii="Arial" w:hAnsi="Arial"/>
        </w:rPr>
        <w:t>El tratamiento busca básicamente fortalecer el Yang y el Qi del Bazo, movilizar la energía del Hígado, eliminar la humedad y transformar la flema, tonificar el Yin del Riñón, dispersar el fuego de Hígado y así fortalecer su Yin.</w:t>
      </w:r>
      <w:r>
        <w:rPr>
          <w:rFonts w:ascii="Arial" w:hAnsi="Arial"/>
          <w:vertAlign w:val="superscript"/>
        </w:rPr>
        <w:t>8</w:t>
      </w:r>
      <w:r>
        <w:rPr>
          <w:rFonts w:ascii="Arial" w:hAnsi="Arial"/>
        </w:rPr>
        <w:t xml:space="preserve"> Es importante tener en cuenta que se debe individualizar cada paciente, considerando los aspectos emocionales, culturales que puedan interferir en el proceso de mejoría. </w:t>
      </w:r>
    </w:p>
    <w:p w14:paraId="7938DDDB" w14:textId="77777777" w:rsidR="005B0592" w:rsidRDefault="00ED290B">
      <w:pPr>
        <w:tabs>
          <w:tab w:val="left" w:pos="2178"/>
        </w:tabs>
        <w:jc w:val="both"/>
        <w:rPr>
          <w:rFonts w:ascii="Arial" w:hAnsi="Arial"/>
        </w:rPr>
      </w:pPr>
      <w:r>
        <w:rPr>
          <w:rFonts w:ascii="Arial" w:hAnsi="Arial"/>
        </w:rPr>
        <w:t xml:space="preserve">En la Medicina China la prevención también juega un papel muy importante, dado que llevar una dieta adecuada permite disminuir el riesgo de alteraciones a nivel metabólico, además de la suspensión de hábitos como el alcohol, el tabaquismo, las relaciones sexuales en exceso, entre otros. Siendo la Medicina China una práctica milenaria de tan importante trascendencia, con desarrollo de estrategias terapéuticas múltiples durante su historia, se considerarán únicamente la revisión de la acupuntura y herbolaria para lograr una adecuada integración del manejo del síndrome metabólico. </w:t>
      </w:r>
    </w:p>
    <w:p w14:paraId="15A4257B" w14:textId="77777777" w:rsidR="005B0592" w:rsidRDefault="00ED290B">
      <w:pPr>
        <w:tabs>
          <w:tab w:val="left" w:pos="2178"/>
        </w:tabs>
        <w:jc w:val="both"/>
        <w:rPr>
          <w:rFonts w:ascii="Arial" w:hAnsi="Arial"/>
        </w:rPr>
      </w:pPr>
      <w:r>
        <w:rPr>
          <w:rFonts w:ascii="Arial" w:hAnsi="Arial"/>
        </w:rPr>
        <w:t>Acupuntura:</w:t>
      </w:r>
    </w:p>
    <w:p w14:paraId="553E8A2B" w14:textId="402EB924" w:rsidR="005B0592" w:rsidRDefault="00ED290B">
      <w:pPr>
        <w:tabs>
          <w:tab w:val="left" w:pos="2178"/>
        </w:tabs>
        <w:jc w:val="both"/>
        <w:rPr>
          <w:rFonts w:ascii="Arial" w:hAnsi="Arial"/>
          <w:vertAlign w:val="superscript"/>
        </w:rPr>
      </w:pPr>
      <w:r>
        <w:rPr>
          <w:rFonts w:ascii="Arial" w:hAnsi="Arial"/>
        </w:rPr>
        <w:t xml:space="preserve">La acupuntura es una práctica </w:t>
      </w:r>
      <w:r w:rsidR="00335DCE">
        <w:rPr>
          <w:rFonts w:ascii="Arial" w:hAnsi="Arial"/>
        </w:rPr>
        <w:t xml:space="preserve">que </w:t>
      </w:r>
      <w:r>
        <w:rPr>
          <w:rFonts w:ascii="Arial" w:hAnsi="Arial"/>
        </w:rPr>
        <w:t xml:space="preserve">actualmente es objeto de múltiples estudios dado sus amplios resultados en cuadros tan prevalentes como lo son la obesidad y la hiperglicemia, incluso en varios países se han implementado programas de tratamiento basados en acupuntura que permiten integrar esta práctica con otros </w:t>
      </w:r>
      <w:r>
        <w:rPr>
          <w:rFonts w:ascii="Arial" w:hAnsi="Arial"/>
        </w:rPr>
        <w:lastRenderedPageBreak/>
        <w:t>manejos alopáticos.</w:t>
      </w:r>
      <w:r>
        <w:rPr>
          <w:rFonts w:ascii="Arial" w:hAnsi="Arial"/>
          <w:vertAlign w:val="superscript"/>
        </w:rPr>
        <w:t xml:space="preserve">11,12 </w:t>
      </w:r>
      <w:r>
        <w:rPr>
          <w:rFonts w:ascii="Arial" w:hAnsi="Arial"/>
        </w:rPr>
        <w:t xml:space="preserve">En el caso del síndrome metabólico existe un número de puntos de acupuntura que se han visto cercanamente relacionados con el control de estas alteraciones, con mejoría en el contexto </w:t>
      </w:r>
      <w:r>
        <w:rPr>
          <w:rFonts w:ascii="Arial" w:hAnsi="Arial" w:cs="Arial"/>
        </w:rPr>
        <w:t>paraclínico y funcional de los pacientes</w:t>
      </w:r>
      <w:r>
        <w:rPr>
          <w:rFonts w:ascii="Arial" w:hAnsi="Arial" w:cs="Arial"/>
          <w:vertAlign w:val="superscript"/>
        </w:rPr>
        <w:t>13</w:t>
      </w:r>
      <w:r>
        <w:rPr>
          <w:rFonts w:ascii="Arial" w:hAnsi="Arial" w:cs="Arial"/>
        </w:rPr>
        <w:t>, los comúnmente usados son conocidos por sus propiedades sobre los órganos afectados. (Tabla 1)</w:t>
      </w:r>
    </w:p>
    <w:p w14:paraId="5B476D16" w14:textId="3C167389" w:rsidR="005B0592" w:rsidRDefault="00BA5EB7">
      <w:pPr>
        <w:jc w:val="both"/>
        <w:rPr>
          <w:rFonts w:ascii="Arial" w:hAnsi="Arial" w:cs="Arial"/>
        </w:rPr>
      </w:pPr>
      <w:r>
        <w:rPr>
          <w:rFonts w:ascii="Arial" w:hAnsi="Arial" w:cs="Arial"/>
        </w:rPr>
        <w:t xml:space="preserve">Dentro de los efectos de la acupuntura se encuentra </w:t>
      </w:r>
      <w:r w:rsidR="00ED290B">
        <w:rPr>
          <w:rFonts w:ascii="Arial" w:hAnsi="Arial" w:cs="Arial"/>
        </w:rPr>
        <w:t>la estimulación del sistema nervioso, impactando d</w:t>
      </w:r>
      <w:r>
        <w:rPr>
          <w:rFonts w:ascii="Arial" w:hAnsi="Arial" w:cs="Arial"/>
        </w:rPr>
        <w:t xml:space="preserve">irectamente sobre el páncreas, </w:t>
      </w:r>
      <w:r w:rsidR="00ED290B">
        <w:rPr>
          <w:rFonts w:ascii="Arial" w:hAnsi="Arial" w:cs="Arial"/>
        </w:rPr>
        <w:t>mejorando la producción de insulina; este estímulo puede hacerse con aguja, moxa, presión o masaje e incluso con electricidad dependiendo del objetivo terapéutico y la severidad de cada caso. Sin embargo existe disparidad entre los estudios dado que no se cuenta con estandarización en el uso de los puntos ni en la modalidad de estimulación por lo que los resultados aunque prometedores en ocasiones no son del todo fiables.</w:t>
      </w:r>
      <w:r w:rsidR="00ED290B">
        <w:rPr>
          <w:rFonts w:ascii="Arial" w:hAnsi="Arial" w:cs="Arial"/>
          <w:vertAlign w:val="superscript"/>
        </w:rPr>
        <w:t xml:space="preserve">14 </w:t>
      </w:r>
      <w:r w:rsidR="00ED290B">
        <w:rPr>
          <w:rFonts w:ascii="Arial" w:hAnsi="Arial" w:cs="Arial"/>
        </w:rPr>
        <w:t>A pesar de no contar con conceptos claros y uniformes sobre el uso de algunos puntos de acupuntura se ha visto una mejoría considerable en las alteraciones cognitivas secundarias a procesos metabólicos crónicos; en los cuales se han realizado pruebas con electroestimulación en ratas de los puntos Zusanli (E36) y Baihui (Du20) encontrando disminución en los niveles de glucosa en sangre, por aumento en la secreción de insulina,  así como aumento en la proliferación de neuroblastos y células diferenciadas en el hipocampo con disminución significativa de los síntomas neurológicos en paciente con Diabetes Mellitus tipo 2.</w:t>
      </w:r>
      <w:r w:rsidR="00ED290B">
        <w:rPr>
          <w:rFonts w:ascii="Arial" w:hAnsi="Arial" w:cs="Arial"/>
          <w:vertAlign w:val="superscript"/>
        </w:rPr>
        <w:t>15</w:t>
      </w:r>
      <w:r w:rsidR="00ED290B">
        <w:rPr>
          <w:rFonts w:ascii="Arial" w:hAnsi="Arial" w:cs="Arial"/>
        </w:rPr>
        <w:t xml:space="preserve"> Las pruebas de electroacupuntura en humanos han mostrado resultados favorables con reducción de niveles de glucosa y reducción en la incidencia de complicaciones; sin embargo, los hallazgos también son variables en pacientes con menor grado de cronicidad en la enfermedad respecto a los que padecen de forma crónica de diabetes, en los pacientes con cuadros crónicos existe una alteración en la mielinización y por ende en la conducción del impulso nervioso lo que podría entorpecer los resultados, aunque es indudable la notable reducción en la glicemia.</w:t>
      </w:r>
      <w:r w:rsidR="00ED290B">
        <w:rPr>
          <w:rFonts w:ascii="Arial" w:hAnsi="Arial" w:cs="Arial"/>
          <w:vertAlign w:val="superscript"/>
        </w:rPr>
        <w:t>16</w:t>
      </w:r>
    </w:p>
    <w:p w14:paraId="5E30BA2F" w14:textId="77777777" w:rsidR="005B0592" w:rsidRDefault="00ED290B">
      <w:pPr>
        <w:jc w:val="both"/>
        <w:rPr>
          <w:rFonts w:ascii="Arial" w:hAnsi="Arial" w:cs="Arial"/>
          <w:vertAlign w:val="superscript"/>
        </w:rPr>
      </w:pPr>
      <w:r>
        <w:rPr>
          <w:rFonts w:ascii="Arial" w:hAnsi="Arial" w:cs="Arial"/>
        </w:rPr>
        <w:t>Dado el resultado sorprendente que se ha evidenciado con el uso de la acupuntura respecto a la mejoría de los trastornos metabólicos, se ha realizado la investigación y comparación del uso de ciertos puntos de acupuntura frente al placebo, encontrando en el 90% de los casos la percepción de los pacientes que recibían placebo completamente diferente de quienes recibieron acupuntura como tal, lo anterior lleva a concluir que la presencia del DeQi es un marcador importante que permite evaluar la sensación en cada paciente, además de ser un indicador de la respuesta energética buscada en cada punto estimulado.</w:t>
      </w:r>
      <w:r>
        <w:rPr>
          <w:rFonts w:ascii="Arial" w:hAnsi="Arial" w:cs="Arial"/>
          <w:vertAlign w:val="superscript"/>
        </w:rPr>
        <w:t>17</w:t>
      </w:r>
    </w:p>
    <w:p w14:paraId="0E638B13" w14:textId="77777777" w:rsidR="005B0592" w:rsidRDefault="00ED290B">
      <w:pPr>
        <w:jc w:val="both"/>
        <w:rPr>
          <w:rFonts w:ascii="Arial" w:hAnsi="Arial" w:cs="Arial"/>
          <w:vertAlign w:val="superscript"/>
        </w:rPr>
      </w:pPr>
      <w:r>
        <w:rPr>
          <w:rFonts w:ascii="Arial" w:hAnsi="Arial" w:cs="Arial"/>
        </w:rPr>
        <w:t xml:space="preserve">Pero los esquemas terapéuticos no se basan únicamente en el uso de acupuntura, existen protocolos que integran la dieta, el ejercicio y la acupuntura; encontrando que por sí solo el ejercicio permite una reducción considerable en los niveles de colesterol y azúcar séricos, mientras la dieta favorece además de lo anterior una reducción de peso y mejoría de características físicas como calidad de la piel y el pelo. Ahora bien si a estas dos herramientas se adiciona el uso de la acupuntura en los puntos adecuados puede conseguirse el equilibrio energético que permite </w:t>
      </w:r>
      <w:r>
        <w:rPr>
          <w:rFonts w:ascii="Arial" w:hAnsi="Arial" w:cs="Arial"/>
        </w:rPr>
        <w:lastRenderedPageBreak/>
        <w:t>finalmente lograr en ciertos casos la remisión del síndrome metabólico con mejoría de la calidad de vida.</w:t>
      </w:r>
      <w:r>
        <w:rPr>
          <w:rFonts w:ascii="Arial" w:hAnsi="Arial" w:cs="Arial"/>
          <w:vertAlign w:val="superscript"/>
        </w:rPr>
        <w:t>18</w:t>
      </w:r>
    </w:p>
    <w:p w14:paraId="1BDAFDE5" w14:textId="69C8F1D9" w:rsidR="005B0592" w:rsidRDefault="00CD5564">
      <w:pPr>
        <w:jc w:val="both"/>
        <w:rPr>
          <w:rFonts w:ascii="Arial" w:hAnsi="Arial" w:cs="Arial"/>
        </w:rPr>
      </w:pPr>
      <w:r>
        <w:rPr>
          <w:rFonts w:ascii="Arial" w:hAnsi="Arial" w:cs="Arial"/>
        </w:rPr>
        <w:t>Materia Médica China</w:t>
      </w:r>
      <w:r w:rsidR="00ED290B">
        <w:rPr>
          <w:rFonts w:ascii="Arial" w:hAnsi="Arial" w:cs="Arial"/>
        </w:rPr>
        <w:t>:</w:t>
      </w:r>
    </w:p>
    <w:p w14:paraId="3B4AF130" w14:textId="77777777" w:rsidR="005B0592" w:rsidRDefault="00ED290B">
      <w:pPr>
        <w:jc w:val="both"/>
        <w:rPr>
          <w:rFonts w:ascii="Arial" w:hAnsi="Arial" w:cs="Arial"/>
        </w:rPr>
      </w:pPr>
      <w:r>
        <w:rPr>
          <w:rFonts w:ascii="Arial" w:hAnsi="Arial"/>
        </w:rPr>
        <w:t>Esta es una de las estrategias terapéuticas más utilizadas en la medicina china, ya que permite una intervención directa sobre funciones corporales establecidas y alteradas que conllevan al síndrome metabólico, por lo que durante los últimos años ha crecido el interés por parte de investigadores no solo orientales, sino también occidentales, en el estudio y conocimiento de esta ayuda terapéutica,  con el fin de establecer los efectos exactos de las plantas medicinales sobre el funcionamiento del organismo. Sin embargo el acceso a la mayoría de las plantas mencionadas a continuación supone un reto una gran parte de los países en desarrollo dada la dificultad para su obtención de manera orgánica</w:t>
      </w:r>
      <w:r>
        <w:rPr>
          <w:rFonts w:ascii="Arial" w:hAnsi="Arial"/>
          <w:vertAlign w:val="superscript"/>
        </w:rPr>
        <w:t>19, 20</w:t>
      </w:r>
      <w:r>
        <w:rPr>
          <w:rFonts w:ascii="Arial" w:hAnsi="Arial"/>
        </w:rPr>
        <w:t>. A continuación se mencionan las plantas más comúnmente usadas:</w:t>
      </w:r>
    </w:p>
    <w:p w14:paraId="4513A4B7" w14:textId="77777777" w:rsidR="005B0592" w:rsidRDefault="00ED290B">
      <w:pPr>
        <w:tabs>
          <w:tab w:val="left" w:pos="2178"/>
        </w:tabs>
        <w:jc w:val="both"/>
        <w:rPr>
          <w:rFonts w:ascii="Arial" w:hAnsi="Arial"/>
        </w:rPr>
      </w:pPr>
      <w:r>
        <w:rPr>
          <w:rFonts w:ascii="Arial" w:hAnsi="Arial"/>
        </w:rPr>
        <w:t xml:space="preserve">1. </w:t>
      </w:r>
      <w:r>
        <w:rPr>
          <w:rFonts w:ascii="Arial" w:hAnsi="Arial"/>
          <w:i/>
        </w:rPr>
        <w:t>Alismatis Rhizoma</w:t>
      </w:r>
      <w:r>
        <w:rPr>
          <w:rFonts w:ascii="Arial" w:hAnsi="Arial"/>
        </w:rPr>
        <w:t>: Función diurética que permite la eliminación de la humedad, descarga de calor, esto lleva a la disminución de la síntesis hepática de colesterol, aumento de actividad de enzimas antioxidanes.</w:t>
      </w:r>
    </w:p>
    <w:p w14:paraId="1DA2D800" w14:textId="77777777" w:rsidR="005B0592" w:rsidRDefault="00ED290B">
      <w:pPr>
        <w:jc w:val="both"/>
        <w:rPr>
          <w:rFonts w:ascii="Arial" w:hAnsi="Arial"/>
        </w:rPr>
      </w:pPr>
      <w:r>
        <w:rPr>
          <w:rFonts w:ascii="Arial" w:hAnsi="Arial"/>
        </w:rPr>
        <w:t xml:space="preserve">2. </w:t>
      </w:r>
      <w:r>
        <w:rPr>
          <w:rFonts w:ascii="Arial" w:hAnsi="Arial"/>
          <w:i/>
        </w:rPr>
        <w:t>Coptidis Rhizoma</w:t>
      </w:r>
      <w:r>
        <w:rPr>
          <w:rFonts w:ascii="Arial" w:hAnsi="Arial"/>
        </w:rPr>
        <w:t>: Disipa calor, elimina humedad, eliminación de toxinas.</w:t>
      </w:r>
    </w:p>
    <w:p w14:paraId="0B453179" w14:textId="77777777" w:rsidR="005B0592" w:rsidRDefault="00ED290B">
      <w:pPr>
        <w:jc w:val="both"/>
        <w:rPr>
          <w:rFonts w:ascii="Arial" w:hAnsi="Arial"/>
        </w:rPr>
      </w:pPr>
      <w:r>
        <w:rPr>
          <w:rFonts w:ascii="Arial" w:hAnsi="Arial"/>
        </w:rPr>
        <w:t>3.</w:t>
      </w:r>
      <w:r>
        <w:rPr>
          <w:rFonts w:ascii="Arial" w:hAnsi="Arial"/>
          <w:i/>
        </w:rPr>
        <w:t>Crataegi Fructus</w:t>
      </w:r>
      <w:r>
        <w:rPr>
          <w:rFonts w:ascii="Arial" w:hAnsi="Arial"/>
        </w:rPr>
        <w:t xml:space="preserve">: Promueve la digestión y tonificación del estómago, movilización del Qi, eliminación de líquidos, inhibe la actividad de las células tumorales a nivel del colon. </w:t>
      </w:r>
    </w:p>
    <w:p w14:paraId="7887AEA5" w14:textId="77777777" w:rsidR="005B0592" w:rsidRDefault="00ED290B">
      <w:pPr>
        <w:jc w:val="both"/>
        <w:rPr>
          <w:rFonts w:ascii="Arial" w:hAnsi="Arial"/>
        </w:rPr>
      </w:pPr>
      <w:r>
        <w:rPr>
          <w:rFonts w:ascii="Arial" w:hAnsi="Arial"/>
        </w:rPr>
        <w:t xml:space="preserve">4. </w:t>
      </w:r>
      <w:r>
        <w:rPr>
          <w:rFonts w:ascii="Arial" w:hAnsi="Arial"/>
          <w:i/>
        </w:rPr>
        <w:t xml:space="preserve">Ginseng Radix y Rhizoma: </w:t>
      </w:r>
      <w:r>
        <w:rPr>
          <w:rFonts w:ascii="Arial" w:hAnsi="Arial"/>
        </w:rPr>
        <w:t xml:space="preserve">Tonificación del Qi original, mejora la inteligencia y el estado mental, inhibición de la lipasa pancreática que lleva a disminución del apetito, alterando la expresión de ciertos receptores de lipoproteínas. </w:t>
      </w:r>
    </w:p>
    <w:p w14:paraId="0843D8EB" w14:textId="77777777" w:rsidR="005B0592" w:rsidRDefault="00ED290B">
      <w:pPr>
        <w:jc w:val="both"/>
        <w:rPr>
          <w:rFonts w:ascii="Arial" w:hAnsi="Arial"/>
        </w:rPr>
      </w:pPr>
      <w:r>
        <w:rPr>
          <w:rFonts w:ascii="Arial" w:hAnsi="Arial"/>
        </w:rPr>
        <w:t xml:space="preserve">5. </w:t>
      </w:r>
      <w:r>
        <w:rPr>
          <w:rFonts w:ascii="Arial" w:hAnsi="Arial"/>
          <w:i/>
        </w:rPr>
        <w:t xml:space="preserve">Notoginseg Radix: </w:t>
      </w:r>
      <w:r>
        <w:rPr>
          <w:rFonts w:ascii="Arial" w:hAnsi="Arial"/>
        </w:rPr>
        <w:t>Disipar inflamación y disminución de dolor, inducción de síntesis de ácidos biliares a partir del colesterol, con aumento de beta oxidación de fosfatasa alcalina a nivel hepático.</w:t>
      </w:r>
    </w:p>
    <w:p w14:paraId="2DE57548" w14:textId="77777777" w:rsidR="005B0592" w:rsidRDefault="00ED290B">
      <w:pPr>
        <w:jc w:val="both"/>
        <w:rPr>
          <w:rFonts w:ascii="Arial" w:hAnsi="Arial"/>
        </w:rPr>
      </w:pPr>
      <w:r>
        <w:rPr>
          <w:rFonts w:ascii="Arial" w:hAnsi="Arial"/>
        </w:rPr>
        <w:t xml:space="preserve">6. </w:t>
      </w:r>
      <w:r>
        <w:rPr>
          <w:rFonts w:ascii="Arial" w:hAnsi="Arial"/>
          <w:i/>
        </w:rPr>
        <w:t xml:space="preserve">Orizae cum Monasco semen: </w:t>
      </w:r>
      <w:r>
        <w:rPr>
          <w:rFonts w:ascii="Arial" w:hAnsi="Arial"/>
        </w:rPr>
        <w:t>Fortalecimiento del Bazo para mejorarla digestión y procesamiento de alimentos, disipación de estasis sanguínea.</w:t>
      </w:r>
    </w:p>
    <w:p w14:paraId="56D110B0" w14:textId="77777777" w:rsidR="005B0592" w:rsidRDefault="00ED290B">
      <w:pPr>
        <w:jc w:val="both"/>
        <w:rPr>
          <w:rFonts w:ascii="Arial" w:hAnsi="Arial"/>
        </w:rPr>
      </w:pPr>
      <w:r>
        <w:rPr>
          <w:rFonts w:ascii="Arial" w:hAnsi="Arial"/>
        </w:rPr>
        <w:t xml:space="preserve">7. </w:t>
      </w:r>
      <w:r>
        <w:rPr>
          <w:rFonts w:ascii="Arial" w:hAnsi="Arial"/>
          <w:i/>
        </w:rPr>
        <w:t>Puerariae Lobatae Radix:</w:t>
      </w:r>
      <w:r>
        <w:rPr>
          <w:rFonts w:ascii="Arial" w:hAnsi="Arial"/>
        </w:rPr>
        <w:t xml:space="preserve"> Eliminación de toxinas, reducción de fiebre, activación de colaterales, favorece la excreción de colesterol y ácidos biliares.</w:t>
      </w:r>
    </w:p>
    <w:p w14:paraId="2D7A1F5B" w14:textId="77777777" w:rsidR="005B0592" w:rsidRDefault="00ED290B">
      <w:pPr>
        <w:jc w:val="both"/>
        <w:rPr>
          <w:rFonts w:ascii="Arial" w:hAnsi="Arial"/>
        </w:rPr>
      </w:pPr>
      <w:r>
        <w:rPr>
          <w:rFonts w:ascii="Arial" w:hAnsi="Arial"/>
        </w:rPr>
        <w:t xml:space="preserve">8. </w:t>
      </w:r>
      <w:r>
        <w:rPr>
          <w:rFonts w:ascii="Arial" w:hAnsi="Arial"/>
          <w:i/>
        </w:rPr>
        <w:t xml:space="preserve">Rhei Radix y Rhizoma: </w:t>
      </w:r>
      <w:r>
        <w:rPr>
          <w:rFonts w:ascii="Arial" w:hAnsi="Arial"/>
        </w:rPr>
        <w:t xml:space="preserve">Relajación del intestino, eliminación de toxinas, con desbloqueo del meridiano, inhibición de HMG – CoA. </w:t>
      </w:r>
    </w:p>
    <w:p w14:paraId="4111C3B8" w14:textId="77777777" w:rsidR="005B0592" w:rsidRDefault="00ED290B">
      <w:pPr>
        <w:jc w:val="both"/>
        <w:rPr>
          <w:rFonts w:ascii="Arial" w:hAnsi="Arial"/>
          <w:vertAlign w:val="superscript"/>
        </w:rPr>
      </w:pPr>
      <w:r>
        <w:rPr>
          <w:rFonts w:ascii="Arial" w:hAnsi="Arial"/>
        </w:rPr>
        <w:t xml:space="preserve">9. </w:t>
      </w:r>
      <w:r>
        <w:rPr>
          <w:rFonts w:ascii="Arial" w:hAnsi="Arial"/>
          <w:i/>
        </w:rPr>
        <w:t xml:space="preserve">Salviae Miltiorrhizae: </w:t>
      </w:r>
      <w:r>
        <w:rPr>
          <w:rFonts w:ascii="Arial" w:hAnsi="Arial"/>
        </w:rPr>
        <w:t>Promover la circulación de la sangre, efecto antioxidante para la prevención del daño endotelial y la inhibición de la oxidación de la lipoproteína de baja densidad.</w:t>
      </w:r>
      <w:r>
        <w:rPr>
          <w:rFonts w:ascii="Arial" w:hAnsi="Arial"/>
          <w:vertAlign w:val="superscript"/>
        </w:rPr>
        <w:t>19</w:t>
      </w:r>
    </w:p>
    <w:p w14:paraId="618E45A1" w14:textId="796AB919" w:rsidR="005B0592" w:rsidRDefault="00ED290B">
      <w:pPr>
        <w:jc w:val="both"/>
        <w:rPr>
          <w:rFonts w:ascii="Arial" w:hAnsi="Arial"/>
          <w:vertAlign w:val="superscript"/>
        </w:rPr>
      </w:pPr>
      <w:r>
        <w:rPr>
          <w:rFonts w:ascii="Arial" w:hAnsi="Arial"/>
        </w:rPr>
        <w:t>Sin embargo a pesar de lo efectivas y confiables que puedan llegar a ser las hierbas como parte del manejo integral, es muy importante reconocer que existen interacciones e</w:t>
      </w:r>
      <w:r w:rsidR="00306233">
        <w:rPr>
          <w:rFonts w:ascii="Arial" w:hAnsi="Arial"/>
        </w:rPr>
        <w:t>ntre</w:t>
      </w:r>
      <w:r>
        <w:rPr>
          <w:rFonts w:ascii="Arial" w:hAnsi="Arial"/>
        </w:rPr>
        <w:t xml:space="preserve"> éstas y algunos medicamentos, lo que podría llevar a aparición </w:t>
      </w:r>
      <w:r>
        <w:rPr>
          <w:rFonts w:ascii="Arial" w:hAnsi="Arial"/>
        </w:rPr>
        <w:lastRenderedPageBreak/>
        <w:t xml:space="preserve">de cuadros crónicos de patologías asociadas; por lo que no </w:t>
      </w:r>
      <w:r w:rsidR="00306233">
        <w:rPr>
          <w:rFonts w:ascii="Arial" w:hAnsi="Arial"/>
        </w:rPr>
        <w:t>se recomienda</w:t>
      </w:r>
      <w:r>
        <w:rPr>
          <w:rFonts w:ascii="Arial" w:hAnsi="Arial"/>
        </w:rPr>
        <w:t xml:space="preserve"> </w:t>
      </w:r>
      <w:r w:rsidR="00306233">
        <w:rPr>
          <w:rFonts w:ascii="Arial" w:hAnsi="Arial"/>
        </w:rPr>
        <w:t xml:space="preserve">su uso </w:t>
      </w:r>
      <w:r>
        <w:rPr>
          <w:rFonts w:ascii="Arial" w:hAnsi="Arial"/>
        </w:rPr>
        <w:t>de manera indiscriminada y siempre considerando las condiciones de cada paciente.</w:t>
      </w:r>
      <w:r>
        <w:rPr>
          <w:rFonts w:ascii="Arial" w:hAnsi="Arial"/>
          <w:vertAlign w:val="superscript"/>
        </w:rPr>
        <w:t>19</w:t>
      </w:r>
    </w:p>
    <w:p w14:paraId="2A121EE3" w14:textId="77777777" w:rsidR="005B0592" w:rsidRDefault="005B0592">
      <w:pPr>
        <w:jc w:val="both"/>
        <w:rPr>
          <w:rFonts w:ascii="Arial" w:hAnsi="Arial"/>
          <w:vertAlign w:val="superscript"/>
        </w:rPr>
      </w:pPr>
    </w:p>
    <w:p w14:paraId="1437A570" w14:textId="77777777" w:rsidR="005B0592" w:rsidRDefault="00ED290B">
      <w:pPr>
        <w:jc w:val="both"/>
        <w:rPr>
          <w:rFonts w:ascii="Arial" w:hAnsi="Arial"/>
        </w:rPr>
      </w:pPr>
      <w:r>
        <w:rPr>
          <w:rFonts w:ascii="Arial" w:hAnsi="Arial"/>
        </w:rPr>
        <w:t>Conclusión</w:t>
      </w:r>
    </w:p>
    <w:p w14:paraId="35D26B4A" w14:textId="77777777" w:rsidR="005B0592" w:rsidRDefault="00ED290B">
      <w:pPr>
        <w:jc w:val="both"/>
        <w:rPr>
          <w:rFonts w:ascii="Arial" w:hAnsi="Arial"/>
        </w:rPr>
      </w:pPr>
      <w:r>
        <w:rPr>
          <w:rFonts w:ascii="Arial" w:hAnsi="Arial"/>
        </w:rPr>
        <w:t xml:space="preserve">El síndrome metabólico es uno de los trastornos que en la actualidad representa un alto impacto para los sistemas de salud y para quienes lo padecen, aumenta las tasas de morbi-mortalidad a nivel mundial con mayor evidencia en los países desarrollados (considerando las características demográficas y estilos de vida); por lo anterior se han buscado múltiples maneras para combatirlo, en algunos casos sin mucho éxito, vale la pena entonces considerar el uso de la Medicina China como un coadyuvante para el manejo de estas alteraciones con el fin de dar un abordaje integral a los pacientes, para conseguir la reducción en el riesgo cardiovascular de los mismos. </w:t>
      </w:r>
    </w:p>
    <w:p w14:paraId="74062EEF" w14:textId="46543146" w:rsidR="00583142" w:rsidRDefault="00583142">
      <w:pPr>
        <w:jc w:val="both"/>
        <w:rPr>
          <w:rFonts w:ascii="Arial" w:hAnsi="Arial"/>
        </w:rPr>
      </w:pPr>
      <w:r>
        <w:rPr>
          <w:rFonts w:ascii="Arial" w:hAnsi="Arial"/>
        </w:rPr>
        <w:t xml:space="preserve">Se debe recordar que tanto para la Medicina Occidental como para la Medicina China la prevención constituye una parte fundamental del tratamiento, considerando que la modificación en las condiciones de vida de los individuos impacta directamente en el desarrollo de las enfermedades, en especial las que se relacionan con hábitos poco saludables. </w:t>
      </w:r>
    </w:p>
    <w:p w14:paraId="3B4AF98C" w14:textId="248BAA57" w:rsidR="00583142" w:rsidRDefault="00583142">
      <w:pPr>
        <w:jc w:val="both"/>
        <w:rPr>
          <w:rFonts w:ascii="Arial" w:hAnsi="Arial"/>
        </w:rPr>
      </w:pPr>
      <w:r>
        <w:rPr>
          <w:rFonts w:ascii="Arial" w:hAnsi="Arial"/>
        </w:rPr>
        <w:t xml:space="preserve">El objetivo de los proveedores de salud es proporcionar herramientas efectivas para el manejo del síndrome metabólico, por lo que se deberían integrar conceptos de las dos corrientes médicas para obtener resultados satisfactorios que permitan a los pacientes ser partícipes de su tratamiento y mejorar la calidad de vida de los mismos. </w:t>
      </w:r>
    </w:p>
    <w:p w14:paraId="0E4BF7E2" w14:textId="77777777" w:rsidR="00306233" w:rsidRDefault="00306233">
      <w:pPr>
        <w:jc w:val="both"/>
      </w:pPr>
    </w:p>
    <w:p w14:paraId="646AD929" w14:textId="77777777" w:rsidR="005B0592" w:rsidRDefault="005B0592"/>
    <w:p w14:paraId="7219ED95" w14:textId="77777777" w:rsidR="005B0592" w:rsidRDefault="005B0592"/>
    <w:p w14:paraId="67BC5859" w14:textId="77777777" w:rsidR="005B0592" w:rsidRDefault="005B0592"/>
    <w:p w14:paraId="3F964BD6" w14:textId="77777777" w:rsidR="005B0592" w:rsidRDefault="005B0592"/>
    <w:p w14:paraId="03E8341A" w14:textId="77777777" w:rsidR="005B0592" w:rsidRDefault="005B0592"/>
    <w:p w14:paraId="7E23775F" w14:textId="77777777" w:rsidR="005B0592" w:rsidRDefault="005B0592"/>
    <w:p w14:paraId="31A784FA" w14:textId="77777777" w:rsidR="005B0592" w:rsidRDefault="005B0592"/>
    <w:p w14:paraId="02A54244" w14:textId="77777777" w:rsidR="005B0592" w:rsidRDefault="005B0592"/>
    <w:p w14:paraId="18EBDD35" w14:textId="77777777" w:rsidR="005B0592" w:rsidRDefault="005B0592"/>
    <w:p w14:paraId="2B91FE11" w14:textId="77777777" w:rsidR="005B0592" w:rsidRDefault="005B0592">
      <w:pPr>
        <w:rPr>
          <w:rFonts w:ascii="Arial" w:hAnsi="Arial" w:cs="Arial"/>
        </w:rPr>
      </w:pPr>
    </w:p>
    <w:p w14:paraId="1ACCAB6B" w14:textId="77777777" w:rsidR="005B0592" w:rsidRDefault="005B0592">
      <w:pPr>
        <w:spacing w:after="0"/>
        <w:contextualSpacing/>
        <w:jc w:val="both"/>
        <w:rPr>
          <w:rFonts w:ascii="Arial" w:hAnsi="Arial" w:cs="Arial"/>
        </w:rPr>
      </w:pPr>
    </w:p>
    <w:p w14:paraId="38D8E829" w14:textId="77777777" w:rsidR="005B0592" w:rsidRDefault="005B0592">
      <w:pPr>
        <w:spacing w:after="0"/>
        <w:contextualSpacing/>
        <w:jc w:val="both"/>
        <w:rPr>
          <w:rFonts w:ascii="Arial" w:hAnsi="Arial" w:cs="Arial"/>
        </w:rPr>
      </w:pPr>
    </w:p>
    <w:p w14:paraId="744F40E3" w14:textId="77777777" w:rsidR="005B0592" w:rsidRDefault="005B0592">
      <w:pPr>
        <w:spacing w:after="0"/>
        <w:contextualSpacing/>
        <w:jc w:val="both"/>
        <w:rPr>
          <w:rFonts w:ascii="Arial" w:hAnsi="Arial"/>
          <w:color w:val="211E1E"/>
          <w:sz w:val="22"/>
          <w:szCs w:val="14"/>
          <w:lang w:val="es-CO"/>
        </w:rPr>
      </w:pPr>
    </w:p>
    <w:p w14:paraId="1F79360F" w14:textId="77777777" w:rsidR="005B0592" w:rsidRDefault="005B0592">
      <w:pPr>
        <w:spacing w:after="0"/>
        <w:contextualSpacing/>
        <w:jc w:val="both"/>
        <w:rPr>
          <w:rFonts w:ascii="Arial" w:hAnsi="Arial"/>
          <w:color w:val="211E1E"/>
          <w:sz w:val="22"/>
          <w:szCs w:val="14"/>
          <w:lang w:val="es-CO"/>
        </w:rPr>
      </w:pPr>
    </w:p>
    <w:p w14:paraId="081B9F04" w14:textId="77777777" w:rsidR="005B0592" w:rsidRDefault="005B0592">
      <w:pPr>
        <w:spacing w:after="0"/>
        <w:contextualSpacing/>
        <w:jc w:val="both"/>
        <w:rPr>
          <w:rFonts w:ascii="Arial" w:hAnsi="Arial"/>
          <w:color w:val="211E1E"/>
          <w:sz w:val="22"/>
          <w:szCs w:val="14"/>
          <w:lang w:val="es-CO"/>
        </w:rPr>
      </w:pPr>
    </w:p>
    <w:p w14:paraId="26B00D75"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 xml:space="preserve">BIBLIOGRAFIA </w:t>
      </w:r>
    </w:p>
    <w:p w14:paraId="4B011366" w14:textId="77777777" w:rsidR="005B0592" w:rsidRDefault="005B0592">
      <w:pPr>
        <w:spacing w:after="0"/>
        <w:contextualSpacing/>
        <w:jc w:val="both"/>
        <w:rPr>
          <w:rFonts w:ascii="Arial" w:hAnsi="Arial"/>
          <w:color w:val="211E1E"/>
          <w:sz w:val="22"/>
          <w:szCs w:val="14"/>
          <w:lang w:val="es-CO"/>
        </w:rPr>
      </w:pPr>
    </w:p>
    <w:p w14:paraId="03521E5A"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1. Lombo B, Villalobos C, Tique C, Satizábal C, Franco C et al. Prevalencia del síndrome metabólico entre los pacientes que asisten al servicio de la Clínica de Hipertensión de la Fundación Santa Fe de Bogotá. Rev. Col. Cardiol. 2006; 12: 472-478.</w:t>
      </w:r>
    </w:p>
    <w:p w14:paraId="00632490" w14:textId="77777777" w:rsidR="005B0592" w:rsidRDefault="005B0592">
      <w:pPr>
        <w:spacing w:after="0"/>
        <w:contextualSpacing/>
        <w:jc w:val="both"/>
        <w:rPr>
          <w:rFonts w:ascii="Arial" w:hAnsi="Arial"/>
          <w:color w:val="211E1E"/>
          <w:sz w:val="22"/>
          <w:szCs w:val="14"/>
          <w:lang w:val="es-CO"/>
        </w:rPr>
      </w:pPr>
    </w:p>
    <w:p w14:paraId="767E4ED3" w14:textId="77777777" w:rsidR="005B0592" w:rsidRDefault="00ED290B">
      <w:pPr>
        <w:spacing w:after="0"/>
        <w:contextualSpacing/>
        <w:jc w:val="both"/>
        <w:rPr>
          <w:rFonts w:ascii="Arial" w:hAnsi="Arial" w:cs="Arial"/>
          <w:color w:val="211E1E"/>
          <w:sz w:val="22"/>
          <w:szCs w:val="22"/>
          <w:lang w:val="es-CO"/>
        </w:rPr>
      </w:pPr>
      <w:r>
        <w:rPr>
          <w:rFonts w:ascii="Arial" w:hAnsi="Arial"/>
          <w:color w:val="211E1E"/>
          <w:sz w:val="22"/>
          <w:szCs w:val="14"/>
          <w:lang w:val="es-CO"/>
        </w:rPr>
        <w:t xml:space="preserve">2. Barrera M, Pinilla A, Cortés E, Mora G, </w:t>
      </w:r>
      <w:r>
        <w:rPr>
          <w:rFonts w:ascii="Arial" w:hAnsi="Arial" w:cs="Arial"/>
          <w:color w:val="211E1E"/>
          <w:sz w:val="22"/>
          <w:szCs w:val="22"/>
          <w:lang w:val="es-CO"/>
        </w:rPr>
        <w:t>Rodríguez M et al. Síndrome metabólico: una mirada interdisciplinaria.RevColombCardiol. 2008; 15: 111-126</w:t>
      </w:r>
    </w:p>
    <w:p w14:paraId="66A2F36C" w14:textId="77777777" w:rsidR="005B0592" w:rsidRDefault="005B0592">
      <w:pPr>
        <w:spacing w:after="0"/>
        <w:contextualSpacing/>
        <w:jc w:val="both"/>
        <w:rPr>
          <w:rFonts w:ascii="Arial" w:hAnsi="Arial" w:cs="Arial"/>
          <w:color w:val="211E1E"/>
          <w:sz w:val="22"/>
          <w:szCs w:val="22"/>
          <w:lang w:val="es-CO"/>
        </w:rPr>
      </w:pPr>
    </w:p>
    <w:p w14:paraId="14617325"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3. Instituto Colombiano de Bienestar Familiar, ENSIN – Encuesta Nacional de Situación Nutricional en Colombia 2010.</w:t>
      </w:r>
    </w:p>
    <w:p w14:paraId="798AFE0C" w14:textId="77777777" w:rsidR="005B0592" w:rsidRDefault="005B0592">
      <w:pPr>
        <w:spacing w:after="0"/>
        <w:contextualSpacing/>
        <w:jc w:val="both"/>
        <w:rPr>
          <w:rFonts w:ascii="Arial" w:hAnsi="Arial"/>
          <w:color w:val="211E1E"/>
          <w:sz w:val="22"/>
          <w:szCs w:val="14"/>
          <w:lang w:val="es-CO"/>
        </w:rPr>
      </w:pPr>
    </w:p>
    <w:p w14:paraId="6441079F" w14:textId="77777777" w:rsidR="005B0592" w:rsidRDefault="00ED290B">
      <w:pPr>
        <w:tabs>
          <w:tab w:val="left" w:pos="1708"/>
        </w:tabs>
        <w:spacing w:after="0"/>
        <w:contextualSpacing/>
        <w:jc w:val="both"/>
        <w:rPr>
          <w:rFonts w:ascii="Arial" w:hAnsi="Arial" w:cs="Arial"/>
          <w:sz w:val="22"/>
          <w:szCs w:val="22"/>
          <w:lang w:val="en-US"/>
        </w:rPr>
      </w:pPr>
      <w:r>
        <w:rPr>
          <w:rFonts w:ascii="Arial" w:hAnsi="Arial"/>
          <w:color w:val="211E1E"/>
          <w:sz w:val="22"/>
          <w:szCs w:val="14"/>
          <w:lang w:val="en-US"/>
        </w:rPr>
        <w:t xml:space="preserve">4. </w:t>
      </w:r>
      <w:r>
        <w:rPr>
          <w:rFonts w:ascii="Arial" w:hAnsi="Arial" w:cs="Arial"/>
          <w:sz w:val="22"/>
          <w:szCs w:val="22"/>
          <w:lang w:val="en-US"/>
        </w:rPr>
        <w:t>Zheng R, Yang M, Bao Y, Li H, Shan Z, Zhang B et al. Prevalence and Determinants of Metabolic Health in Subjects with Obesity in Chinese Population. Int. J. Environ. Res. Public Health, 2015; 12, 13662-13677</w:t>
      </w:r>
    </w:p>
    <w:p w14:paraId="2DCE42F1" w14:textId="77777777" w:rsidR="005B0592" w:rsidRDefault="005B0592">
      <w:pPr>
        <w:spacing w:after="0"/>
        <w:contextualSpacing/>
        <w:jc w:val="both"/>
        <w:rPr>
          <w:rFonts w:ascii="Arial" w:hAnsi="Arial"/>
          <w:color w:val="211E1E"/>
          <w:sz w:val="22"/>
          <w:szCs w:val="14"/>
          <w:lang w:val="en-US"/>
        </w:rPr>
      </w:pPr>
    </w:p>
    <w:p w14:paraId="5CEAEBC5" w14:textId="77777777" w:rsidR="005B0592" w:rsidRPr="0076748A" w:rsidRDefault="00ED290B">
      <w:pPr>
        <w:spacing w:after="0"/>
        <w:contextualSpacing/>
        <w:jc w:val="both"/>
        <w:rPr>
          <w:rFonts w:ascii="Arial" w:hAnsi="Arial"/>
          <w:color w:val="211E1E"/>
          <w:sz w:val="22"/>
          <w:szCs w:val="14"/>
          <w:lang w:val="es-CO"/>
        </w:rPr>
      </w:pPr>
      <w:r>
        <w:rPr>
          <w:rFonts w:ascii="Arial" w:hAnsi="Arial"/>
          <w:color w:val="211E1E"/>
          <w:sz w:val="22"/>
          <w:szCs w:val="14"/>
          <w:lang w:val="en-US"/>
        </w:rPr>
        <w:t xml:space="preserve">5. Reyes Miguel, Paternina H et al. </w:t>
      </w:r>
      <w:r>
        <w:rPr>
          <w:rFonts w:ascii="Arial" w:hAnsi="Arial"/>
          <w:color w:val="211E1E"/>
          <w:sz w:val="22"/>
          <w:szCs w:val="14"/>
          <w:lang w:val="es-CO"/>
        </w:rPr>
        <w:t xml:space="preserve">Guía síndrome metabólico. Vol 1. Edición 1. </w:t>
      </w:r>
      <w:r w:rsidRPr="0076748A">
        <w:rPr>
          <w:rFonts w:ascii="Arial" w:hAnsi="Arial"/>
          <w:color w:val="211E1E"/>
          <w:sz w:val="22"/>
          <w:szCs w:val="14"/>
          <w:lang w:val="es-CO"/>
        </w:rPr>
        <w:t>Colombia: Thompson PLM S.A; 2009.</w:t>
      </w:r>
    </w:p>
    <w:p w14:paraId="3B63C4B3" w14:textId="77777777" w:rsidR="005B0592" w:rsidRPr="0076748A" w:rsidRDefault="005B0592">
      <w:pPr>
        <w:spacing w:after="0"/>
        <w:contextualSpacing/>
        <w:jc w:val="both"/>
        <w:rPr>
          <w:rFonts w:ascii="Arial" w:hAnsi="Arial"/>
          <w:color w:val="211E1E"/>
          <w:sz w:val="22"/>
          <w:szCs w:val="14"/>
          <w:lang w:val="es-CO"/>
        </w:rPr>
      </w:pPr>
    </w:p>
    <w:p w14:paraId="7D7DE296" w14:textId="77777777" w:rsidR="005B0592" w:rsidRDefault="00ED290B">
      <w:pPr>
        <w:autoSpaceDE w:val="0"/>
        <w:autoSpaceDN w:val="0"/>
        <w:adjustRightInd w:val="0"/>
        <w:spacing w:after="0"/>
        <w:rPr>
          <w:rFonts w:ascii="Arial" w:hAnsi="Arial" w:cs="Arial"/>
          <w:sz w:val="22"/>
          <w:szCs w:val="22"/>
          <w:lang w:val="es-CO"/>
        </w:rPr>
      </w:pPr>
      <w:r>
        <w:rPr>
          <w:rFonts w:ascii="Arial" w:hAnsi="Arial" w:cs="Arial"/>
          <w:color w:val="211E1E"/>
          <w:sz w:val="22"/>
          <w:szCs w:val="22"/>
          <w:lang w:val="en-US"/>
        </w:rPr>
        <w:t xml:space="preserve">6. </w:t>
      </w:r>
      <w:r>
        <w:rPr>
          <w:rFonts w:ascii="Arial" w:hAnsi="Arial" w:cs="Arial"/>
          <w:sz w:val="22"/>
          <w:szCs w:val="22"/>
          <w:lang w:val="en-US"/>
        </w:rPr>
        <w:t xml:space="preserve">Vinet A, Obert P, Dutheil F, Diagne </w:t>
      </w:r>
      <w:proofErr w:type="gramStart"/>
      <w:r>
        <w:rPr>
          <w:rFonts w:ascii="Arial" w:hAnsi="Arial" w:cs="Arial"/>
          <w:sz w:val="22"/>
          <w:szCs w:val="22"/>
          <w:lang w:val="en-US"/>
        </w:rPr>
        <w:t>L,  Chapier</w:t>
      </w:r>
      <w:proofErr w:type="gramEnd"/>
      <w:r>
        <w:rPr>
          <w:rFonts w:ascii="Arial" w:hAnsi="Arial" w:cs="Arial"/>
          <w:sz w:val="22"/>
          <w:szCs w:val="22"/>
          <w:lang w:val="en-US"/>
        </w:rPr>
        <w:t xml:space="preserve"> R, Lesourd B et al. Impact of a Lifestyle Program on Vascular Insulin Resistance in Metabolic Syndrome Subjects: The RESOLVE Study. </w:t>
      </w:r>
      <w:r>
        <w:rPr>
          <w:rFonts w:ascii="Arial" w:hAnsi="Arial" w:cs="Arial"/>
          <w:sz w:val="22"/>
          <w:szCs w:val="22"/>
          <w:lang w:val="es-CO"/>
        </w:rPr>
        <w:t>J ClinEndocrinolMetab, February 2015; 100(2):442– 450</w:t>
      </w:r>
    </w:p>
    <w:p w14:paraId="616A9358" w14:textId="77777777" w:rsidR="005B0592" w:rsidRDefault="005B0592">
      <w:pPr>
        <w:spacing w:after="0"/>
        <w:contextualSpacing/>
        <w:jc w:val="both"/>
        <w:rPr>
          <w:rFonts w:ascii="Arial" w:hAnsi="Arial"/>
          <w:color w:val="211E1E"/>
          <w:sz w:val="22"/>
          <w:szCs w:val="14"/>
          <w:lang w:val="es-CO"/>
        </w:rPr>
      </w:pPr>
    </w:p>
    <w:p w14:paraId="50A384BD"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7. Urrego D, Vega J et al. La Medicina Tradicional China: Un abordaje desde los sistemas médicos complejos. Maestría en Medicina Alternativa. Ed Universidad Nacional de Colombia; 2013.</w:t>
      </w:r>
    </w:p>
    <w:p w14:paraId="2C282479" w14:textId="77777777" w:rsidR="005B0592" w:rsidRDefault="005B0592">
      <w:pPr>
        <w:spacing w:after="0"/>
        <w:contextualSpacing/>
        <w:jc w:val="both"/>
        <w:rPr>
          <w:rFonts w:ascii="Arial" w:hAnsi="Arial"/>
          <w:color w:val="211E1E"/>
          <w:sz w:val="22"/>
          <w:szCs w:val="14"/>
          <w:lang w:val="es-CO"/>
        </w:rPr>
      </w:pPr>
    </w:p>
    <w:p w14:paraId="1B0BF952"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8. Salazar M. “Síndrome metabólico: Una revisión bibliográfica en medicina occidental y medicina tradicional China”. Tesis en acupuntura humana, Instituto politécnico nacional de México; 2010. Disponible en:http://tesis.ipn.mx:8080/xmlui/bitstream/handle/123456789/8697/241.pdf?sequence=1</w:t>
      </w:r>
    </w:p>
    <w:p w14:paraId="35687D94" w14:textId="77777777" w:rsidR="005B0592" w:rsidRDefault="005B0592">
      <w:pPr>
        <w:spacing w:after="0"/>
        <w:contextualSpacing/>
        <w:rPr>
          <w:rFonts w:ascii="Arial" w:hAnsi="Arial"/>
          <w:color w:val="211E1E"/>
          <w:sz w:val="22"/>
          <w:szCs w:val="14"/>
          <w:lang w:val="es-CO"/>
        </w:rPr>
      </w:pPr>
    </w:p>
    <w:p w14:paraId="04A678DA"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9. Jaramillo J, Min M. Fundamentos de Medicina Tradicional china; Vol 1. Primera Edición. Coombia: Tercer mundo editores: 1983.</w:t>
      </w:r>
    </w:p>
    <w:p w14:paraId="0176EDC2" w14:textId="77777777" w:rsidR="005B0592" w:rsidRDefault="005B0592">
      <w:pPr>
        <w:spacing w:after="0"/>
        <w:contextualSpacing/>
        <w:jc w:val="both"/>
        <w:rPr>
          <w:rFonts w:ascii="Arial" w:hAnsi="Arial"/>
          <w:color w:val="211E1E"/>
          <w:sz w:val="22"/>
          <w:szCs w:val="14"/>
          <w:lang w:val="es-CO"/>
        </w:rPr>
      </w:pPr>
    </w:p>
    <w:p w14:paraId="4A8BE58C"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10. Maciocia  G. Los Fundamentos de la Medicina China; Primera edición. España: ANEID PRESS: 1989</w:t>
      </w:r>
    </w:p>
    <w:p w14:paraId="73F1FCEE" w14:textId="77777777" w:rsidR="005B0592" w:rsidRDefault="005B0592">
      <w:pPr>
        <w:spacing w:after="0"/>
        <w:contextualSpacing/>
        <w:jc w:val="both"/>
        <w:rPr>
          <w:rFonts w:ascii="Arial" w:hAnsi="Arial"/>
          <w:color w:val="211E1E"/>
          <w:sz w:val="22"/>
          <w:szCs w:val="14"/>
          <w:lang w:val="es-CO"/>
        </w:rPr>
      </w:pPr>
    </w:p>
    <w:p w14:paraId="2581304C"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11. Vanegas D. Efectividad del tratamiento con acupuntura de pacientes obesos en rehabilitación cardiovascular; Proyecto de Investigación para optar por el grado de Magister en Medicina China y Acupuntura; Universidad Nacional de Colombia; 2009.</w:t>
      </w:r>
    </w:p>
    <w:p w14:paraId="68269492" w14:textId="77777777" w:rsidR="005B0592" w:rsidRDefault="005B0592">
      <w:pPr>
        <w:spacing w:after="0"/>
        <w:contextualSpacing/>
        <w:jc w:val="both"/>
        <w:rPr>
          <w:rFonts w:ascii="Arial" w:hAnsi="Arial"/>
          <w:color w:val="211E1E"/>
          <w:sz w:val="22"/>
          <w:szCs w:val="14"/>
          <w:lang w:val="es-CO"/>
        </w:rPr>
      </w:pPr>
    </w:p>
    <w:p w14:paraId="2B1E9163" w14:textId="77777777" w:rsidR="005B0592" w:rsidRDefault="00ED290B">
      <w:pPr>
        <w:spacing w:after="0"/>
        <w:contextualSpacing/>
        <w:jc w:val="both"/>
        <w:rPr>
          <w:rFonts w:ascii="Arial" w:hAnsi="Arial"/>
          <w:color w:val="211E1E"/>
          <w:sz w:val="22"/>
          <w:szCs w:val="14"/>
          <w:lang w:val="en-US"/>
        </w:rPr>
      </w:pPr>
      <w:r>
        <w:rPr>
          <w:rFonts w:ascii="Arial" w:hAnsi="Arial"/>
          <w:color w:val="211E1E"/>
          <w:sz w:val="22"/>
          <w:szCs w:val="14"/>
          <w:lang w:val="es-CO"/>
        </w:rPr>
        <w:t xml:space="preserve">12. F. Liang, D. Koya et al. </w:t>
      </w:r>
      <w:r>
        <w:rPr>
          <w:rFonts w:ascii="Arial" w:hAnsi="Arial"/>
          <w:color w:val="211E1E"/>
          <w:sz w:val="22"/>
          <w:szCs w:val="14"/>
          <w:lang w:val="en-US"/>
        </w:rPr>
        <w:t xml:space="preserve">Acupuncture: is it effective for treatment of insulin </w:t>
      </w:r>
      <w:proofErr w:type="gramStart"/>
      <w:r>
        <w:rPr>
          <w:rFonts w:ascii="Arial" w:hAnsi="Arial"/>
          <w:color w:val="211E1E"/>
          <w:sz w:val="22"/>
          <w:szCs w:val="14"/>
          <w:lang w:val="en-US"/>
        </w:rPr>
        <w:t>resistance?;</w:t>
      </w:r>
      <w:proofErr w:type="gramEnd"/>
      <w:r>
        <w:rPr>
          <w:rFonts w:ascii="Arial" w:hAnsi="Arial"/>
          <w:color w:val="211E1E"/>
          <w:sz w:val="22"/>
          <w:szCs w:val="14"/>
          <w:lang w:val="en-US"/>
        </w:rPr>
        <w:t>Diabetes Obes Metab.2010; 12: 555–569.</w:t>
      </w:r>
    </w:p>
    <w:p w14:paraId="4EBC4F77" w14:textId="77777777" w:rsidR="005B0592" w:rsidRDefault="005B0592">
      <w:pPr>
        <w:spacing w:after="0"/>
        <w:contextualSpacing/>
        <w:jc w:val="both"/>
        <w:rPr>
          <w:rFonts w:ascii="Arial" w:hAnsi="Arial"/>
          <w:color w:val="211E1E"/>
          <w:sz w:val="22"/>
          <w:szCs w:val="14"/>
          <w:lang w:val="en-US"/>
        </w:rPr>
      </w:pPr>
    </w:p>
    <w:p w14:paraId="29417388" w14:textId="77777777" w:rsidR="005B0592" w:rsidRDefault="00ED290B">
      <w:pPr>
        <w:spacing w:after="0"/>
        <w:contextualSpacing/>
        <w:jc w:val="both"/>
        <w:rPr>
          <w:rFonts w:ascii="Arial" w:hAnsi="Arial"/>
          <w:color w:val="211E1E"/>
          <w:sz w:val="22"/>
          <w:szCs w:val="14"/>
          <w:lang w:val="es-CO"/>
        </w:rPr>
      </w:pPr>
      <w:r>
        <w:rPr>
          <w:rFonts w:ascii="Arial" w:hAnsi="Arial"/>
          <w:color w:val="211E1E"/>
          <w:sz w:val="22"/>
          <w:szCs w:val="14"/>
          <w:lang w:val="es-CO"/>
        </w:rPr>
        <w:t>13. Focks C. Atlas de Acupuntura; 2º Edición, ElseiverMasson: 2009.</w:t>
      </w:r>
    </w:p>
    <w:p w14:paraId="4EF9E014" w14:textId="77777777" w:rsidR="005B0592" w:rsidRDefault="005B0592">
      <w:pPr>
        <w:spacing w:after="0"/>
        <w:contextualSpacing/>
        <w:rPr>
          <w:rFonts w:ascii="Arial" w:hAnsi="Arial"/>
          <w:color w:val="211E1E"/>
          <w:sz w:val="22"/>
          <w:szCs w:val="14"/>
          <w:lang w:val="es-CO"/>
        </w:rPr>
      </w:pPr>
    </w:p>
    <w:p w14:paraId="63163788" w14:textId="77777777" w:rsidR="005B0592" w:rsidRDefault="00ED290B">
      <w:pPr>
        <w:shd w:val="clear" w:color="auto" w:fill="FFFFFF"/>
        <w:rPr>
          <w:rFonts w:ascii="Arial" w:eastAsia="Times New Roman" w:hAnsi="Arial" w:cs="Arial"/>
          <w:sz w:val="20"/>
          <w:szCs w:val="20"/>
          <w:lang w:val="en-US" w:eastAsia="es-CO"/>
        </w:rPr>
      </w:pPr>
      <w:r>
        <w:rPr>
          <w:rFonts w:ascii="AdvTTb5929f4c" w:hAnsi="AdvTTb5929f4c" w:cs="AdvTTb5929f4c"/>
          <w:sz w:val="22"/>
          <w:szCs w:val="22"/>
          <w:lang w:val="en-US"/>
        </w:rPr>
        <w:t xml:space="preserve">14. Lacey JM, Tershakovec AM, Foster G </w:t>
      </w:r>
      <w:proofErr w:type="gramStart"/>
      <w:r>
        <w:rPr>
          <w:rFonts w:ascii="AdvTTb5929f4c" w:hAnsi="AdvTTb5929f4c" w:cs="AdvTTb5929f4c"/>
          <w:sz w:val="22"/>
          <w:szCs w:val="22"/>
          <w:lang w:val="en-US"/>
        </w:rPr>
        <w:t>et al.</w:t>
      </w:r>
      <w:proofErr w:type="gramEnd"/>
      <w:r>
        <w:rPr>
          <w:rFonts w:ascii="AdvTTb5929f4c" w:hAnsi="AdvTTb5929f4c" w:cs="AdvTTb5929f4c"/>
          <w:sz w:val="22"/>
          <w:szCs w:val="22"/>
          <w:lang w:val="en-US"/>
        </w:rPr>
        <w:t xml:space="preserve"> Acupuncture for the treatment of obesity: a review ofthe evidence. </w:t>
      </w:r>
      <w:r>
        <w:rPr>
          <w:rFonts w:ascii="Arial" w:eastAsia="Times New Roman" w:hAnsi="Arial" w:cs="Arial"/>
          <w:sz w:val="20"/>
          <w:szCs w:val="20"/>
          <w:lang w:val="en-US" w:eastAsia="es-CO"/>
        </w:rPr>
        <w:t xml:space="preserve">International Journal of Obesity 2003; 27:419– 427 </w:t>
      </w:r>
    </w:p>
    <w:p w14:paraId="665D3532" w14:textId="77777777" w:rsidR="005B0592" w:rsidRDefault="00ED290B">
      <w:pPr>
        <w:autoSpaceDE w:val="0"/>
        <w:autoSpaceDN w:val="0"/>
        <w:adjustRightInd w:val="0"/>
        <w:spacing w:after="0"/>
        <w:rPr>
          <w:rFonts w:ascii="AdvTTb5929f4c" w:hAnsi="AdvTTb5929f4c" w:cs="AdvTTb5929f4c"/>
          <w:sz w:val="22"/>
          <w:szCs w:val="22"/>
          <w:lang w:val="en-US"/>
        </w:rPr>
      </w:pPr>
      <w:r>
        <w:rPr>
          <w:rFonts w:ascii="AdvTTb5929f4c" w:hAnsi="AdvTTb5929f4c" w:cs="AdvTTb5929f4c"/>
          <w:sz w:val="22"/>
          <w:szCs w:val="22"/>
          <w:lang w:val="en-US"/>
        </w:rPr>
        <w:t xml:space="preserve">15. Chung J, Yoo </w:t>
      </w:r>
      <w:proofErr w:type="gramStart"/>
      <w:r>
        <w:rPr>
          <w:rFonts w:ascii="AdvTTb5929f4c" w:hAnsi="AdvTTb5929f4c" w:cs="AdvTTb5929f4c"/>
          <w:sz w:val="22"/>
          <w:szCs w:val="22"/>
          <w:lang w:val="en-US"/>
        </w:rPr>
        <w:t>D,Wooseok</w:t>
      </w:r>
      <w:proofErr w:type="gramEnd"/>
      <w:r>
        <w:rPr>
          <w:rFonts w:ascii="AdvTTb5929f4c" w:hAnsi="AdvTTb5929f4c" w:cs="AdvTTb5929f4c"/>
          <w:sz w:val="22"/>
          <w:szCs w:val="22"/>
          <w:lang w:val="en-US"/>
        </w:rPr>
        <w:t xml:space="preserve"> IM, Choo J, Yi J et al. Electroacupuncture at the Zusanli and Baihui acupoints ameliorates type 2diabetes induced reductions in proliferating cells and differentiated neuroblasts in thehippocampal dentate gyrus with increasing brain-derived neurotrophic factor levels. Vet. Med. Sci.2015; 77(2): 167–173</w:t>
      </w:r>
    </w:p>
    <w:p w14:paraId="20CEA25F" w14:textId="77777777" w:rsidR="005B0592" w:rsidRDefault="005B0592">
      <w:pPr>
        <w:autoSpaceDE w:val="0"/>
        <w:autoSpaceDN w:val="0"/>
        <w:adjustRightInd w:val="0"/>
        <w:spacing w:after="0"/>
        <w:rPr>
          <w:rFonts w:ascii="AdvTTb5929f4c" w:hAnsi="AdvTTb5929f4c" w:cs="AdvTTb5929f4c"/>
          <w:sz w:val="22"/>
          <w:szCs w:val="22"/>
          <w:lang w:val="en-US"/>
        </w:rPr>
      </w:pPr>
    </w:p>
    <w:p w14:paraId="3237DCDF" w14:textId="77777777" w:rsidR="005B0592" w:rsidRDefault="00ED290B">
      <w:pPr>
        <w:autoSpaceDE w:val="0"/>
        <w:autoSpaceDN w:val="0"/>
        <w:adjustRightInd w:val="0"/>
        <w:spacing w:after="0"/>
        <w:rPr>
          <w:rFonts w:ascii="AdvTTb5929f4c" w:hAnsi="AdvTTb5929f4c" w:cs="AdvTTb5929f4c"/>
          <w:sz w:val="22"/>
          <w:szCs w:val="22"/>
          <w:lang w:val="en-US"/>
        </w:rPr>
      </w:pPr>
      <w:r>
        <w:rPr>
          <w:rFonts w:ascii="AdvTTb5929f4c" w:hAnsi="AdvTTb5929f4c" w:cs="AdvTTb5929f4c"/>
          <w:sz w:val="22"/>
          <w:szCs w:val="22"/>
          <w:lang w:val="en-US"/>
        </w:rPr>
        <w:t>16. Peplow P, Baxter GD et al. Electroacupuncture for Control of Blood Glucose in Diabetes: Literature Review. J Acupunct Meridian Stud.2012;5(1):1-10</w:t>
      </w:r>
    </w:p>
    <w:p w14:paraId="24211FFE" w14:textId="77777777" w:rsidR="005B0592" w:rsidRDefault="005B0592">
      <w:pPr>
        <w:autoSpaceDE w:val="0"/>
        <w:autoSpaceDN w:val="0"/>
        <w:adjustRightInd w:val="0"/>
        <w:spacing w:after="0"/>
        <w:rPr>
          <w:rFonts w:ascii="AdvTTb5929f4c" w:hAnsi="AdvTTb5929f4c" w:cs="AdvTTb5929f4c"/>
          <w:sz w:val="22"/>
          <w:szCs w:val="22"/>
          <w:lang w:val="en-US"/>
        </w:rPr>
      </w:pPr>
    </w:p>
    <w:p w14:paraId="25D529F8" w14:textId="77777777" w:rsidR="005B0592" w:rsidRDefault="00ED290B">
      <w:pPr>
        <w:autoSpaceDE w:val="0"/>
        <w:autoSpaceDN w:val="0"/>
        <w:adjustRightInd w:val="0"/>
        <w:spacing w:after="0"/>
        <w:jc w:val="both"/>
        <w:rPr>
          <w:rFonts w:ascii="AdvTTb5929f4c" w:hAnsi="AdvTTb5929f4c" w:cs="AdvTTb5929f4c"/>
          <w:sz w:val="22"/>
          <w:szCs w:val="22"/>
          <w:lang w:val="en-US"/>
        </w:rPr>
      </w:pPr>
      <w:r>
        <w:rPr>
          <w:rFonts w:ascii="AdvTTb5929f4c" w:hAnsi="AdvTTb5929f4c" w:cs="AdvTTb5929f4c"/>
          <w:sz w:val="22"/>
          <w:szCs w:val="22"/>
          <w:lang w:val="en-US"/>
        </w:rPr>
        <w:t>17. Yi Wong E, Leung P, Zhang L et al. Placebo Acupuncture in an AcupunctureClinical Trial. How Good is the Blinding Effect</w:t>
      </w:r>
      <w:proofErr w:type="gramStart"/>
      <w:r>
        <w:rPr>
          <w:rFonts w:ascii="AdvTTb5929f4c" w:hAnsi="AdvTTb5929f4c" w:cs="AdvTTb5929f4c"/>
          <w:sz w:val="22"/>
          <w:szCs w:val="22"/>
          <w:lang w:val="en-US"/>
        </w:rPr>
        <w:t>?.J</w:t>
      </w:r>
      <w:proofErr w:type="gramEnd"/>
      <w:r>
        <w:rPr>
          <w:rFonts w:ascii="AdvTTb5929f4c" w:hAnsi="AdvTTb5929f4c" w:cs="AdvTTb5929f4c"/>
          <w:sz w:val="22"/>
          <w:szCs w:val="22"/>
          <w:lang w:val="en-US"/>
        </w:rPr>
        <w:t xml:space="preserve"> Acupunct Meridian Stud.2015; 8(1):40-43</w:t>
      </w:r>
    </w:p>
    <w:p w14:paraId="7DB7C8A3" w14:textId="77777777" w:rsidR="005B0592" w:rsidRDefault="005B0592">
      <w:pPr>
        <w:autoSpaceDE w:val="0"/>
        <w:autoSpaceDN w:val="0"/>
        <w:adjustRightInd w:val="0"/>
        <w:spacing w:after="0"/>
        <w:rPr>
          <w:rFonts w:ascii="AdvTTb5929f4c" w:hAnsi="AdvTTb5929f4c" w:cs="AdvTTb5929f4c"/>
          <w:sz w:val="22"/>
          <w:szCs w:val="22"/>
          <w:lang w:val="en-US"/>
        </w:rPr>
      </w:pPr>
    </w:p>
    <w:p w14:paraId="0E99023D" w14:textId="77777777" w:rsidR="005B0592" w:rsidRDefault="00ED290B">
      <w:pPr>
        <w:autoSpaceDE w:val="0"/>
        <w:autoSpaceDN w:val="0"/>
        <w:adjustRightInd w:val="0"/>
        <w:spacing w:after="0"/>
        <w:jc w:val="both"/>
        <w:rPr>
          <w:rFonts w:ascii="AdvTTb5929f4c" w:hAnsi="AdvTTb5929f4c" w:cs="AdvTTb5929f4c"/>
          <w:sz w:val="22"/>
          <w:szCs w:val="22"/>
          <w:lang w:val="en-US"/>
        </w:rPr>
      </w:pPr>
      <w:r>
        <w:rPr>
          <w:rFonts w:ascii="AdvTTb5929f4c" w:hAnsi="AdvTTb5929f4c" w:cs="AdvTTb5929f4c"/>
          <w:sz w:val="22"/>
          <w:szCs w:val="22"/>
          <w:lang w:val="en-US"/>
        </w:rPr>
        <w:t>18. Nourshahi M, Ahmadizad S, Nikbakht H, et al. The effects of triple therapy (acupuncture, diet and exercise) on body weight: a randomized, clinical trial. International Journal of Obesity. 2009; 33, 583–587.</w:t>
      </w:r>
    </w:p>
    <w:p w14:paraId="1EF79CBA" w14:textId="77777777" w:rsidR="005B0592" w:rsidRDefault="005B0592">
      <w:pPr>
        <w:autoSpaceDE w:val="0"/>
        <w:autoSpaceDN w:val="0"/>
        <w:adjustRightInd w:val="0"/>
        <w:spacing w:after="0"/>
        <w:jc w:val="both"/>
        <w:rPr>
          <w:rFonts w:ascii="AdvTTb5929f4c" w:hAnsi="AdvTTb5929f4c" w:cs="AdvTTb5929f4c"/>
          <w:sz w:val="22"/>
          <w:szCs w:val="22"/>
          <w:lang w:val="en-US"/>
        </w:rPr>
      </w:pPr>
    </w:p>
    <w:p w14:paraId="1C4458C0" w14:textId="77777777" w:rsidR="005B0592" w:rsidRDefault="00ED290B">
      <w:pPr>
        <w:autoSpaceDE w:val="0"/>
        <w:autoSpaceDN w:val="0"/>
        <w:adjustRightInd w:val="0"/>
        <w:spacing w:after="0"/>
        <w:jc w:val="both"/>
        <w:rPr>
          <w:rFonts w:ascii="AdvTTb5929f4c" w:hAnsi="AdvTTb5929f4c" w:cs="AdvTTb5929f4c"/>
          <w:sz w:val="22"/>
          <w:szCs w:val="22"/>
          <w:lang w:val="en-US"/>
        </w:rPr>
      </w:pPr>
      <w:r>
        <w:rPr>
          <w:rFonts w:ascii="AdvTTb5929f4c" w:hAnsi="AdvTTb5929f4c" w:cs="AdvTTb5929f4c"/>
          <w:sz w:val="22"/>
          <w:szCs w:val="22"/>
          <w:lang w:val="en-US"/>
        </w:rPr>
        <w:t xml:space="preserve">19. Liu Z, Ping J, Zhang A, Wu Q, Ruan Y. Chinese herbal medicines for hypercholesterolemia. Cochrane Database of Systematic Reviews. 2011; Issue 7. Art. No. CD008305. </w:t>
      </w:r>
      <w:r>
        <w:rPr>
          <w:rFonts w:ascii="AdvTTb5929f4c" w:hAnsi="AdvTTb5929f4c" w:cs="AdvTTb5929f4c"/>
          <w:sz w:val="22"/>
          <w:szCs w:val="22"/>
          <w:lang w:val="en-US"/>
        </w:rPr>
        <w:cr/>
      </w:r>
    </w:p>
    <w:p w14:paraId="050D74AD" w14:textId="77777777" w:rsidR="005B0592" w:rsidRDefault="00ED290B">
      <w:pPr>
        <w:autoSpaceDE w:val="0"/>
        <w:autoSpaceDN w:val="0"/>
        <w:adjustRightInd w:val="0"/>
        <w:spacing w:after="0"/>
        <w:jc w:val="both"/>
        <w:rPr>
          <w:rFonts w:ascii="Arial" w:hAnsi="Arial" w:cs="Arial"/>
          <w:sz w:val="22"/>
          <w:szCs w:val="22"/>
          <w:lang w:val="en-US"/>
        </w:rPr>
      </w:pPr>
      <w:r>
        <w:rPr>
          <w:rFonts w:ascii="AdvTTb5929f4c" w:hAnsi="AdvTTb5929f4c" w:cs="AdvTTb5929f4c"/>
          <w:sz w:val="22"/>
          <w:szCs w:val="22"/>
          <w:lang w:val="en-US"/>
        </w:rPr>
        <w:t>20.</w:t>
      </w:r>
      <w:r>
        <w:rPr>
          <w:rFonts w:ascii="Arial" w:hAnsi="Arial" w:cs="Arial"/>
          <w:sz w:val="22"/>
          <w:szCs w:val="22"/>
          <w:lang w:val="en-US"/>
        </w:rPr>
        <w:t xml:space="preserve"> Tzeng T, Liou S, Liu I. The Selected Traditional Chinese Medicinal Formulas for Treating Diabetic Nephropathy: Perspective of Modern Science. Journal of Traditional and Complementary Medicine. 2013; Vo1. 3, No. 3, pp. 152-158.</w:t>
      </w:r>
    </w:p>
    <w:p w14:paraId="7041C9CA" w14:textId="77777777" w:rsidR="005B0592" w:rsidRDefault="005B0592">
      <w:pPr>
        <w:autoSpaceDE w:val="0"/>
        <w:autoSpaceDN w:val="0"/>
        <w:adjustRightInd w:val="0"/>
        <w:spacing w:after="0"/>
        <w:rPr>
          <w:rFonts w:ascii="AdvTTb5929f4c" w:hAnsi="AdvTTb5929f4c" w:cs="AdvTTb5929f4c"/>
          <w:sz w:val="22"/>
          <w:szCs w:val="22"/>
          <w:lang w:val="en-US"/>
        </w:rPr>
      </w:pPr>
    </w:p>
    <w:p w14:paraId="26E74C63" w14:textId="77777777" w:rsidR="005B0592" w:rsidRDefault="005B0592">
      <w:pPr>
        <w:autoSpaceDE w:val="0"/>
        <w:autoSpaceDN w:val="0"/>
        <w:adjustRightInd w:val="0"/>
        <w:spacing w:after="0"/>
        <w:rPr>
          <w:rFonts w:ascii="AdvTTb5929f4c" w:hAnsi="AdvTTb5929f4c" w:cs="AdvTTb5929f4c"/>
          <w:sz w:val="22"/>
          <w:szCs w:val="22"/>
          <w:lang w:val="en-US"/>
        </w:rPr>
      </w:pPr>
    </w:p>
    <w:p w14:paraId="126A2B23" w14:textId="77777777" w:rsidR="005B0592" w:rsidRDefault="005B0592">
      <w:pPr>
        <w:autoSpaceDE w:val="0"/>
        <w:autoSpaceDN w:val="0"/>
        <w:adjustRightInd w:val="0"/>
        <w:spacing w:after="0"/>
        <w:rPr>
          <w:rFonts w:ascii="AdvTTb5929f4c" w:hAnsi="AdvTTb5929f4c" w:cs="AdvTTb5929f4c"/>
          <w:sz w:val="22"/>
          <w:szCs w:val="22"/>
          <w:lang w:val="en-US"/>
        </w:rPr>
      </w:pPr>
    </w:p>
    <w:p w14:paraId="0E05A7E6" w14:textId="77777777" w:rsidR="005B0592" w:rsidRDefault="005B0592">
      <w:pPr>
        <w:autoSpaceDE w:val="0"/>
        <w:autoSpaceDN w:val="0"/>
        <w:adjustRightInd w:val="0"/>
        <w:spacing w:after="0"/>
        <w:rPr>
          <w:rFonts w:ascii="AdvTTb5929f4c" w:hAnsi="AdvTTb5929f4c" w:cs="AdvTTb5929f4c"/>
          <w:sz w:val="22"/>
          <w:szCs w:val="22"/>
          <w:lang w:val="en-US"/>
        </w:rPr>
      </w:pPr>
    </w:p>
    <w:p w14:paraId="0A06CF4A" w14:textId="77777777" w:rsidR="005B0592" w:rsidRDefault="005B0592">
      <w:pPr>
        <w:autoSpaceDE w:val="0"/>
        <w:autoSpaceDN w:val="0"/>
        <w:adjustRightInd w:val="0"/>
        <w:spacing w:after="0"/>
        <w:rPr>
          <w:rFonts w:ascii="AdvTTb5929f4c" w:hAnsi="AdvTTb5929f4c" w:cs="AdvTTb5929f4c"/>
          <w:sz w:val="22"/>
          <w:szCs w:val="22"/>
          <w:lang w:val="en-US"/>
        </w:rPr>
      </w:pPr>
    </w:p>
    <w:p w14:paraId="424B0E38" w14:textId="77777777" w:rsidR="005B0592" w:rsidRDefault="005B0592">
      <w:pPr>
        <w:autoSpaceDE w:val="0"/>
        <w:autoSpaceDN w:val="0"/>
        <w:adjustRightInd w:val="0"/>
        <w:spacing w:after="0"/>
        <w:rPr>
          <w:rFonts w:ascii="AdvTTb5929f4c" w:hAnsi="AdvTTb5929f4c" w:cs="AdvTTb5929f4c"/>
          <w:sz w:val="22"/>
          <w:szCs w:val="22"/>
          <w:lang w:val="en-US"/>
        </w:rPr>
      </w:pPr>
    </w:p>
    <w:p w14:paraId="546D46FF" w14:textId="77777777" w:rsidR="005B0592" w:rsidRDefault="005B0592">
      <w:pPr>
        <w:autoSpaceDE w:val="0"/>
        <w:autoSpaceDN w:val="0"/>
        <w:adjustRightInd w:val="0"/>
        <w:spacing w:after="0"/>
        <w:rPr>
          <w:rFonts w:ascii="AdvTTb5929f4c" w:hAnsi="AdvTTb5929f4c" w:cs="AdvTTb5929f4c"/>
          <w:sz w:val="22"/>
          <w:szCs w:val="22"/>
          <w:lang w:val="en-US"/>
        </w:rPr>
      </w:pPr>
    </w:p>
    <w:p w14:paraId="7F497781" w14:textId="77777777" w:rsidR="005B0592" w:rsidRDefault="005B0592">
      <w:pPr>
        <w:rPr>
          <w:lang w:val="en-US"/>
        </w:rPr>
      </w:pPr>
    </w:p>
    <w:p w14:paraId="407A8C05" w14:textId="77777777" w:rsidR="005B0592" w:rsidRDefault="005B0592">
      <w:pPr>
        <w:rPr>
          <w:lang w:val="en-US"/>
        </w:rPr>
      </w:pPr>
    </w:p>
    <w:p w14:paraId="385A74E8" w14:textId="77777777" w:rsidR="005B0592" w:rsidRDefault="005B0592">
      <w:pPr>
        <w:rPr>
          <w:lang w:val="en-US"/>
        </w:rPr>
      </w:pPr>
    </w:p>
    <w:p w14:paraId="0143C100" w14:textId="77777777" w:rsidR="005B0592" w:rsidRDefault="005B0592">
      <w:pPr>
        <w:rPr>
          <w:lang w:val="en-US"/>
        </w:rPr>
      </w:pPr>
    </w:p>
    <w:p w14:paraId="1F4FD2E0" w14:textId="77777777" w:rsidR="005B0592" w:rsidRDefault="005B0592">
      <w:pPr>
        <w:rPr>
          <w:lang w:val="en-US"/>
        </w:rPr>
      </w:pPr>
    </w:p>
    <w:p w14:paraId="5459A5DB" w14:textId="77777777" w:rsidR="005B0592" w:rsidRDefault="005B0592">
      <w:pPr>
        <w:rPr>
          <w:lang w:val="en-US"/>
        </w:rPr>
      </w:pPr>
    </w:p>
    <w:p w14:paraId="0E3C96AB" w14:textId="77777777" w:rsidR="005B0592" w:rsidRDefault="005B0592">
      <w:pPr>
        <w:rPr>
          <w:lang w:val="en-US"/>
        </w:rPr>
      </w:pPr>
    </w:p>
    <w:p w14:paraId="456CE0A8" w14:textId="77777777" w:rsidR="005B0592" w:rsidRDefault="005B0592">
      <w:pPr>
        <w:rPr>
          <w:rFonts w:ascii="Arial" w:hAnsi="Arial" w:cs="Arial"/>
          <w:lang w:val="en-US"/>
        </w:rPr>
      </w:pPr>
    </w:p>
    <w:p w14:paraId="7CF37242" w14:textId="77777777" w:rsidR="005B0592" w:rsidRDefault="005B0592">
      <w:pPr>
        <w:rPr>
          <w:rFonts w:ascii="Arial" w:hAnsi="Arial" w:cs="Arial"/>
          <w:lang w:val="en-US"/>
        </w:rPr>
      </w:pPr>
    </w:p>
    <w:p w14:paraId="22733707" w14:textId="77777777" w:rsidR="005B0592" w:rsidRDefault="005B0592">
      <w:pPr>
        <w:rPr>
          <w:rFonts w:ascii="Arial" w:hAnsi="Arial" w:cs="Arial"/>
          <w:lang w:val="en-US"/>
        </w:rPr>
      </w:pPr>
    </w:p>
    <w:p w14:paraId="3912D47F" w14:textId="77777777" w:rsidR="005B0592" w:rsidRDefault="005B0592">
      <w:pPr>
        <w:rPr>
          <w:rFonts w:ascii="Arial" w:hAnsi="Arial" w:cs="Arial"/>
          <w:lang w:val="en-US"/>
        </w:rPr>
      </w:pPr>
    </w:p>
    <w:p w14:paraId="226ED485" w14:textId="77777777" w:rsidR="005B0592" w:rsidRDefault="005B0592">
      <w:pPr>
        <w:rPr>
          <w:rFonts w:ascii="Arial" w:hAnsi="Arial" w:cs="Arial"/>
          <w:lang w:val="en-US"/>
        </w:rPr>
      </w:pPr>
    </w:p>
    <w:p w14:paraId="10DBB7A1" w14:textId="77777777" w:rsidR="005B0592" w:rsidRDefault="005B0592">
      <w:pPr>
        <w:rPr>
          <w:rFonts w:ascii="Arial" w:hAnsi="Arial" w:cs="Arial"/>
          <w:lang w:val="en-US"/>
        </w:rPr>
      </w:pPr>
    </w:p>
    <w:p w14:paraId="7F41A0D2" w14:textId="7AF85EF6" w:rsidR="005B0592" w:rsidRPr="0076748A" w:rsidRDefault="00CA5528">
      <w:pPr>
        <w:rPr>
          <w:rFonts w:ascii="Arial" w:hAnsi="Arial" w:cs="Arial"/>
          <w:lang w:val="en-US"/>
        </w:rPr>
      </w:pPr>
      <w:r>
        <w:rPr>
          <w:rFonts w:ascii="Arial" w:hAnsi="Arial" w:cs="Arial"/>
          <w:lang w:val="en-US"/>
        </w:rPr>
        <w:t>Tabla 1</w:t>
      </w:r>
    </w:p>
    <w:tbl>
      <w:tblPr>
        <w:tblStyle w:val="Tablaconcuadrcula"/>
        <w:tblpPr w:leftFromText="141" w:rightFromText="141" w:vertAnchor="page" w:horzAnchor="margin" w:tblpXSpec="center" w:tblpY="3617"/>
        <w:tblW w:w="9897" w:type="dxa"/>
        <w:tblLayout w:type="fixed"/>
        <w:tblLook w:val="00A0" w:firstRow="1" w:lastRow="0" w:firstColumn="1" w:lastColumn="0" w:noHBand="0" w:noVBand="0"/>
      </w:tblPr>
      <w:tblGrid>
        <w:gridCol w:w="1951"/>
        <w:gridCol w:w="2126"/>
        <w:gridCol w:w="5820"/>
      </w:tblGrid>
      <w:tr w:rsidR="005B0592" w14:paraId="237799A6" w14:textId="77777777">
        <w:tc>
          <w:tcPr>
            <w:tcW w:w="1951" w:type="dxa"/>
          </w:tcPr>
          <w:p w14:paraId="13C39041" w14:textId="77777777" w:rsidR="005B0592" w:rsidRDefault="00ED290B">
            <w:pPr>
              <w:tabs>
                <w:tab w:val="left" w:pos="2178"/>
              </w:tabs>
              <w:jc w:val="center"/>
              <w:rPr>
                <w:rFonts w:ascii="Arial" w:hAnsi="Arial"/>
                <w:b/>
                <w:sz w:val="22"/>
                <w:szCs w:val="22"/>
              </w:rPr>
            </w:pPr>
            <w:r>
              <w:rPr>
                <w:rFonts w:ascii="Arial" w:hAnsi="Arial"/>
                <w:b/>
                <w:sz w:val="22"/>
                <w:szCs w:val="22"/>
              </w:rPr>
              <w:t>NOMBRE</w:t>
            </w:r>
          </w:p>
        </w:tc>
        <w:tc>
          <w:tcPr>
            <w:tcW w:w="2126" w:type="dxa"/>
          </w:tcPr>
          <w:p w14:paraId="5081B9BF" w14:textId="77777777" w:rsidR="005B0592" w:rsidRDefault="00ED290B">
            <w:pPr>
              <w:tabs>
                <w:tab w:val="left" w:pos="2178"/>
              </w:tabs>
              <w:jc w:val="center"/>
              <w:rPr>
                <w:rFonts w:ascii="Arial" w:hAnsi="Arial"/>
                <w:b/>
                <w:sz w:val="22"/>
                <w:szCs w:val="22"/>
              </w:rPr>
            </w:pPr>
            <w:r>
              <w:rPr>
                <w:rFonts w:ascii="Arial" w:hAnsi="Arial"/>
                <w:b/>
                <w:sz w:val="22"/>
                <w:szCs w:val="22"/>
              </w:rPr>
              <w:t>NOMENCLATURA</w:t>
            </w:r>
          </w:p>
        </w:tc>
        <w:tc>
          <w:tcPr>
            <w:tcW w:w="5820" w:type="dxa"/>
          </w:tcPr>
          <w:p w14:paraId="1BBFADB4" w14:textId="77777777" w:rsidR="005B0592" w:rsidRDefault="00ED290B">
            <w:pPr>
              <w:tabs>
                <w:tab w:val="left" w:pos="2178"/>
              </w:tabs>
              <w:jc w:val="center"/>
              <w:rPr>
                <w:rFonts w:ascii="Arial" w:hAnsi="Arial"/>
                <w:b/>
                <w:sz w:val="22"/>
                <w:szCs w:val="22"/>
              </w:rPr>
            </w:pPr>
            <w:r>
              <w:rPr>
                <w:rFonts w:ascii="Arial" w:hAnsi="Arial"/>
                <w:b/>
                <w:sz w:val="22"/>
                <w:szCs w:val="22"/>
              </w:rPr>
              <w:t>FUNCION</w:t>
            </w:r>
          </w:p>
        </w:tc>
      </w:tr>
      <w:tr w:rsidR="005B0592" w14:paraId="20FFA3DB" w14:textId="77777777">
        <w:tc>
          <w:tcPr>
            <w:tcW w:w="1951" w:type="dxa"/>
          </w:tcPr>
          <w:p w14:paraId="3E4E452E" w14:textId="77777777" w:rsidR="005B0592" w:rsidRDefault="005B0592">
            <w:pPr>
              <w:tabs>
                <w:tab w:val="left" w:pos="2178"/>
              </w:tabs>
              <w:jc w:val="center"/>
              <w:rPr>
                <w:rFonts w:ascii="Arial" w:hAnsi="Arial"/>
                <w:sz w:val="22"/>
                <w:szCs w:val="22"/>
              </w:rPr>
            </w:pPr>
          </w:p>
          <w:p w14:paraId="5BC0C150" w14:textId="77777777" w:rsidR="005B0592" w:rsidRDefault="00ED290B">
            <w:pPr>
              <w:tabs>
                <w:tab w:val="left" w:pos="2178"/>
              </w:tabs>
              <w:jc w:val="center"/>
              <w:rPr>
                <w:rFonts w:ascii="Arial" w:hAnsi="Arial"/>
                <w:sz w:val="22"/>
                <w:szCs w:val="22"/>
              </w:rPr>
            </w:pPr>
            <w:r>
              <w:rPr>
                <w:rFonts w:ascii="Arial" w:hAnsi="Arial"/>
                <w:sz w:val="22"/>
                <w:szCs w:val="22"/>
              </w:rPr>
              <w:t>Zusanli</w:t>
            </w:r>
          </w:p>
        </w:tc>
        <w:tc>
          <w:tcPr>
            <w:tcW w:w="2126" w:type="dxa"/>
          </w:tcPr>
          <w:p w14:paraId="0CC4FE78" w14:textId="77777777" w:rsidR="005B0592" w:rsidRDefault="005B0592">
            <w:pPr>
              <w:tabs>
                <w:tab w:val="left" w:pos="2178"/>
              </w:tabs>
              <w:jc w:val="center"/>
              <w:rPr>
                <w:rFonts w:ascii="Arial" w:hAnsi="Arial"/>
                <w:sz w:val="22"/>
                <w:szCs w:val="22"/>
              </w:rPr>
            </w:pPr>
          </w:p>
          <w:p w14:paraId="7C63045A" w14:textId="77777777" w:rsidR="005B0592" w:rsidRDefault="00ED290B">
            <w:pPr>
              <w:tabs>
                <w:tab w:val="left" w:pos="2178"/>
              </w:tabs>
              <w:jc w:val="center"/>
              <w:rPr>
                <w:rFonts w:ascii="Arial" w:hAnsi="Arial"/>
                <w:sz w:val="22"/>
                <w:szCs w:val="22"/>
              </w:rPr>
            </w:pPr>
            <w:r>
              <w:rPr>
                <w:rFonts w:ascii="Arial" w:hAnsi="Arial"/>
                <w:sz w:val="22"/>
                <w:szCs w:val="22"/>
              </w:rPr>
              <w:t>E36</w:t>
            </w:r>
          </w:p>
        </w:tc>
        <w:tc>
          <w:tcPr>
            <w:tcW w:w="5820" w:type="dxa"/>
          </w:tcPr>
          <w:p w14:paraId="7DAAEAD3" w14:textId="77777777" w:rsidR="005B0592" w:rsidRDefault="00ED290B">
            <w:pPr>
              <w:tabs>
                <w:tab w:val="left" w:pos="2178"/>
              </w:tabs>
              <w:jc w:val="both"/>
              <w:rPr>
                <w:rFonts w:ascii="Arial" w:hAnsi="Arial"/>
                <w:sz w:val="22"/>
                <w:szCs w:val="22"/>
              </w:rPr>
            </w:pPr>
            <w:r>
              <w:rPr>
                <w:rFonts w:ascii="Arial" w:hAnsi="Arial"/>
                <w:sz w:val="22"/>
                <w:szCs w:val="22"/>
              </w:rPr>
              <w:t>Tonifica energía de bazo – estómago, actúa sobre enfermedades de los tres calentadores, regula la sangre y la energía, calma el Shen.</w:t>
            </w:r>
          </w:p>
        </w:tc>
      </w:tr>
      <w:tr w:rsidR="005B0592" w14:paraId="1F30407B" w14:textId="77777777">
        <w:tc>
          <w:tcPr>
            <w:tcW w:w="1951" w:type="dxa"/>
          </w:tcPr>
          <w:p w14:paraId="0A3DBE23" w14:textId="77777777" w:rsidR="005B0592" w:rsidRDefault="005B0592">
            <w:pPr>
              <w:tabs>
                <w:tab w:val="left" w:pos="2178"/>
              </w:tabs>
              <w:jc w:val="center"/>
              <w:rPr>
                <w:rFonts w:ascii="Arial" w:hAnsi="Arial"/>
                <w:sz w:val="22"/>
                <w:szCs w:val="22"/>
              </w:rPr>
            </w:pPr>
          </w:p>
          <w:p w14:paraId="7DB3F351" w14:textId="77777777" w:rsidR="005B0592" w:rsidRDefault="00ED290B">
            <w:pPr>
              <w:tabs>
                <w:tab w:val="left" w:pos="2178"/>
              </w:tabs>
              <w:jc w:val="center"/>
              <w:rPr>
                <w:rFonts w:ascii="Arial" w:hAnsi="Arial"/>
                <w:sz w:val="22"/>
                <w:szCs w:val="22"/>
              </w:rPr>
            </w:pPr>
            <w:r>
              <w:rPr>
                <w:rFonts w:ascii="Arial" w:hAnsi="Arial"/>
                <w:sz w:val="22"/>
                <w:szCs w:val="22"/>
              </w:rPr>
              <w:t>Sanyinjiao</w:t>
            </w:r>
          </w:p>
        </w:tc>
        <w:tc>
          <w:tcPr>
            <w:tcW w:w="2126" w:type="dxa"/>
          </w:tcPr>
          <w:p w14:paraId="7B8A69E0" w14:textId="77777777" w:rsidR="005B0592" w:rsidRDefault="005B0592">
            <w:pPr>
              <w:tabs>
                <w:tab w:val="left" w:pos="2178"/>
              </w:tabs>
              <w:jc w:val="center"/>
              <w:rPr>
                <w:rFonts w:ascii="Arial" w:hAnsi="Arial"/>
                <w:sz w:val="22"/>
                <w:szCs w:val="22"/>
              </w:rPr>
            </w:pPr>
          </w:p>
          <w:p w14:paraId="080CB588" w14:textId="77777777" w:rsidR="005B0592" w:rsidRDefault="00ED290B">
            <w:pPr>
              <w:tabs>
                <w:tab w:val="left" w:pos="2178"/>
              </w:tabs>
              <w:jc w:val="center"/>
              <w:rPr>
                <w:rFonts w:ascii="Arial" w:hAnsi="Arial"/>
                <w:sz w:val="22"/>
                <w:szCs w:val="22"/>
              </w:rPr>
            </w:pPr>
            <w:r>
              <w:rPr>
                <w:rFonts w:ascii="Arial" w:hAnsi="Arial"/>
                <w:sz w:val="22"/>
                <w:szCs w:val="22"/>
              </w:rPr>
              <w:t>B6</w:t>
            </w:r>
          </w:p>
        </w:tc>
        <w:tc>
          <w:tcPr>
            <w:tcW w:w="5820" w:type="dxa"/>
          </w:tcPr>
          <w:p w14:paraId="6A9CDF52" w14:textId="77777777" w:rsidR="005B0592" w:rsidRDefault="00ED290B">
            <w:pPr>
              <w:tabs>
                <w:tab w:val="left" w:pos="2178"/>
              </w:tabs>
              <w:jc w:val="both"/>
              <w:rPr>
                <w:rFonts w:ascii="Arial" w:hAnsi="Arial"/>
                <w:sz w:val="22"/>
                <w:szCs w:val="22"/>
              </w:rPr>
            </w:pPr>
            <w:r>
              <w:rPr>
                <w:rFonts w:ascii="Arial" w:hAnsi="Arial"/>
                <w:sz w:val="22"/>
                <w:szCs w:val="22"/>
              </w:rPr>
              <w:t>Elimina humedad tonificando Bazo y estómago, regulación de la micción, armoniza al calentador inferior.</w:t>
            </w:r>
          </w:p>
        </w:tc>
      </w:tr>
      <w:tr w:rsidR="005B0592" w14:paraId="01CBFD27" w14:textId="77777777">
        <w:tc>
          <w:tcPr>
            <w:tcW w:w="1951" w:type="dxa"/>
          </w:tcPr>
          <w:p w14:paraId="1926738C" w14:textId="77777777" w:rsidR="005B0592" w:rsidRDefault="005B0592">
            <w:pPr>
              <w:tabs>
                <w:tab w:val="left" w:pos="2178"/>
              </w:tabs>
              <w:jc w:val="center"/>
              <w:rPr>
                <w:rFonts w:ascii="Arial" w:hAnsi="Arial"/>
                <w:sz w:val="22"/>
                <w:szCs w:val="22"/>
              </w:rPr>
            </w:pPr>
          </w:p>
          <w:p w14:paraId="732B728F" w14:textId="77777777" w:rsidR="005B0592" w:rsidRDefault="00ED290B">
            <w:pPr>
              <w:tabs>
                <w:tab w:val="left" w:pos="2178"/>
              </w:tabs>
              <w:jc w:val="center"/>
              <w:rPr>
                <w:rFonts w:ascii="Arial" w:hAnsi="Arial"/>
                <w:sz w:val="22"/>
                <w:szCs w:val="22"/>
              </w:rPr>
            </w:pPr>
            <w:r>
              <w:rPr>
                <w:rFonts w:ascii="Arial" w:hAnsi="Arial"/>
                <w:sz w:val="22"/>
                <w:szCs w:val="22"/>
              </w:rPr>
              <w:t>Qihai</w:t>
            </w:r>
          </w:p>
        </w:tc>
        <w:tc>
          <w:tcPr>
            <w:tcW w:w="2126" w:type="dxa"/>
          </w:tcPr>
          <w:p w14:paraId="64D6DAB2" w14:textId="77777777" w:rsidR="005B0592" w:rsidRDefault="005B0592">
            <w:pPr>
              <w:tabs>
                <w:tab w:val="left" w:pos="2178"/>
              </w:tabs>
              <w:jc w:val="center"/>
              <w:rPr>
                <w:rFonts w:ascii="Arial" w:hAnsi="Arial"/>
                <w:sz w:val="22"/>
                <w:szCs w:val="22"/>
              </w:rPr>
            </w:pPr>
          </w:p>
          <w:p w14:paraId="2190DD85" w14:textId="77777777" w:rsidR="005B0592" w:rsidRDefault="00ED290B">
            <w:pPr>
              <w:tabs>
                <w:tab w:val="left" w:pos="2178"/>
              </w:tabs>
              <w:jc w:val="center"/>
              <w:rPr>
                <w:rFonts w:ascii="Arial" w:hAnsi="Arial"/>
                <w:sz w:val="22"/>
                <w:szCs w:val="22"/>
              </w:rPr>
            </w:pPr>
            <w:r>
              <w:rPr>
                <w:rFonts w:ascii="Arial" w:hAnsi="Arial"/>
                <w:sz w:val="22"/>
                <w:szCs w:val="22"/>
              </w:rPr>
              <w:t>Ren 6</w:t>
            </w:r>
          </w:p>
        </w:tc>
        <w:tc>
          <w:tcPr>
            <w:tcW w:w="5820" w:type="dxa"/>
          </w:tcPr>
          <w:p w14:paraId="4D8EFEA6" w14:textId="77777777" w:rsidR="005B0592" w:rsidRDefault="00ED290B">
            <w:pPr>
              <w:tabs>
                <w:tab w:val="left" w:pos="2178"/>
              </w:tabs>
              <w:jc w:val="both"/>
              <w:rPr>
                <w:rFonts w:ascii="Arial" w:hAnsi="Arial"/>
                <w:sz w:val="22"/>
                <w:szCs w:val="22"/>
              </w:rPr>
            </w:pPr>
            <w:r>
              <w:rPr>
                <w:rFonts w:ascii="Arial" w:hAnsi="Arial"/>
                <w:sz w:val="22"/>
                <w:szCs w:val="22"/>
              </w:rPr>
              <w:t>Tonifica el Qi original, fortaleciendo los riñones, armoniza la sangre y elimina la humedad.</w:t>
            </w:r>
          </w:p>
        </w:tc>
      </w:tr>
      <w:tr w:rsidR="005B0592" w14:paraId="55DEBC16" w14:textId="77777777">
        <w:tc>
          <w:tcPr>
            <w:tcW w:w="1951" w:type="dxa"/>
          </w:tcPr>
          <w:p w14:paraId="09BB624A" w14:textId="77777777" w:rsidR="005B0592" w:rsidRDefault="005B0592">
            <w:pPr>
              <w:tabs>
                <w:tab w:val="left" w:pos="2178"/>
              </w:tabs>
              <w:jc w:val="center"/>
              <w:rPr>
                <w:rFonts w:ascii="Arial" w:hAnsi="Arial"/>
                <w:sz w:val="22"/>
                <w:szCs w:val="22"/>
              </w:rPr>
            </w:pPr>
          </w:p>
          <w:p w14:paraId="74B66F4C" w14:textId="77777777" w:rsidR="005B0592" w:rsidRDefault="00ED290B">
            <w:pPr>
              <w:tabs>
                <w:tab w:val="left" w:pos="2178"/>
              </w:tabs>
              <w:jc w:val="center"/>
              <w:rPr>
                <w:rFonts w:ascii="Arial" w:hAnsi="Arial"/>
                <w:sz w:val="22"/>
                <w:szCs w:val="22"/>
              </w:rPr>
            </w:pPr>
            <w:r>
              <w:rPr>
                <w:rFonts w:ascii="Arial" w:hAnsi="Arial"/>
                <w:sz w:val="22"/>
                <w:szCs w:val="22"/>
              </w:rPr>
              <w:t>Taichong</w:t>
            </w:r>
          </w:p>
        </w:tc>
        <w:tc>
          <w:tcPr>
            <w:tcW w:w="2126" w:type="dxa"/>
          </w:tcPr>
          <w:p w14:paraId="15D8B335" w14:textId="77777777" w:rsidR="005B0592" w:rsidRDefault="005B0592">
            <w:pPr>
              <w:tabs>
                <w:tab w:val="left" w:pos="2178"/>
              </w:tabs>
              <w:jc w:val="center"/>
              <w:rPr>
                <w:rFonts w:ascii="Arial" w:hAnsi="Arial"/>
                <w:sz w:val="22"/>
                <w:szCs w:val="22"/>
              </w:rPr>
            </w:pPr>
          </w:p>
          <w:p w14:paraId="355FC582" w14:textId="77777777" w:rsidR="005B0592" w:rsidRDefault="00ED290B">
            <w:pPr>
              <w:tabs>
                <w:tab w:val="left" w:pos="2178"/>
              </w:tabs>
              <w:jc w:val="center"/>
              <w:rPr>
                <w:rFonts w:ascii="Arial" w:hAnsi="Arial"/>
                <w:sz w:val="22"/>
                <w:szCs w:val="22"/>
              </w:rPr>
            </w:pPr>
            <w:r>
              <w:rPr>
                <w:rFonts w:ascii="Arial" w:hAnsi="Arial"/>
                <w:sz w:val="22"/>
                <w:szCs w:val="22"/>
              </w:rPr>
              <w:t>H3</w:t>
            </w:r>
          </w:p>
        </w:tc>
        <w:tc>
          <w:tcPr>
            <w:tcW w:w="5820" w:type="dxa"/>
          </w:tcPr>
          <w:p w14:paraId="3628CA1E" w14:textId="77777777" w:rsidR="005B0592" w:rsidRDefault="00ED290B">
            <w:pPr>
              <w:tabs>
                <w:tab w:val="left" w:pos="2178"/>
              </w:tabs>
              <w:jc w:val="both"/>
              <w:rPr>
                <w:rFonts w:ascii="Arial" w:hAnsi="Arial"/>
                <w:sz w:val="22"/>
                <w:szCs w:val="22"/>
              </w:rPr>
            </w:pPr>
            <w:r>
              <w:rPr>
                <w:rFonts w:ascii="Arial" w:hAnsi="Arial"/>
                <w:sz w:val="22"/>
                <w:szCs w:val="22"/>
              </w:rPr>
              <w:t xml:space="preserve">Extiende el Qi del hígado, nutriendo su sangre y Yin, elimina el viento y dispersa el Yang del hígado. </w:t>
            </w:r>
          </w:p>
        </w:tc>
      </w:tr>
      <w:tr w:rsidR="005B0592" w14:paraId="2A802B44" w14:textId="77777777">
        <w:tc>
          <w:tcPr>
            <w:tcW w:w="1951" w:type="dxa"/>
          </w:tcPr>
          <w:p w14:paraId="5CE27401" w14:textId="77777777" w:rsidR="005B0592" w:rsidRDefault="005B0592">
            <w:pPr>
              <w:tabs>
                <w:tab w:val="left" w:pos="2178"/>
              </w:tabs>
              <w:jc w:val="center"/>
              <w:rPr>
                <w:rFonts w:ascii="Arial" w:hAnsi="Arial"/>
                <w:sz w:val="22"/>
                <w:szCs w:val="22"/>
              </w:rPr>
            </w:pPr>
          </w:p>
          <w:p w14:paraId="7689264C" w14:textId="77777777" w:rsidR="005B0592" w:rsidRDefault="00ED290B">
            <w:pPr>
              <w:tabs>
                <w:tab w:val="left" w:pos="2178"/>
              </w:tabs>
              <w:jc w:val="center"/>
              <w:rPr>
                <w:rFonts w:ascii="Arial" w:hAnsi="Arial"/>
                <w:sz w:val="22"/>
                <w:szCs w:val="22"/>
              </w:rPr>
            </w:pPr>
            <w:r>
              <w:rPr>
                <w:rFonts w:ascii="Arial" w:hAnsi="Arial"/>
                <w:sz w:val="22"/>
                <w:szCs w:val="22"/>
              </w:rPr>
              <w:t>Taixi</w:t>
            </w:r>
          </w:p>
        </w:tc>
        <w:tc>
          <w:tcPr>
            <w:tcW w:w="2126" w:type="dxa"/>
          </w:tcPr>
          <w:p w14:paraId="068F2CF2" w14:textId="77777777" w:rsidR="005B0592" w:rsidRDefault="005B0592">
            <w:pPr>
              <w:tabs>
                <w:tab w:val="left" w:pos="2178"/>
              </w:tabs>
              <w:jc w:val="center"/>
              <w:rPr>
                <w:rFonts w:ascii="Arial" w:hAnsi="Arial"/>
                <w:sz w:val="22"/>
                <w:szCs w:val="22"/>
              </w:rPr>
            </w:pPr>
          </w:p>
          <w:p w14:paraId="3DBBF2CA" w14:textId="77777777" w:rsidR="005B0592" w:rsidRDefault="00ED290B">
            <w:pPr>
              <w:tabs>
                <w:tab w:val="left" w:pos="2178"/>
              </w:tabs>
              <w:jc w:val="center"/>
              <w:rPr>
                <w:rFonts w:ascii="Arial" w:hAnsi="Arial"/>
                <w:sz w:val="22"/>
                <w:szCs w:val="22"/>
              </w:rPr>
            </w:pPr>
            <w:r>
              <w:rPr>
                <w:rFonts w:ascii="Arial" w:hAnsi="Arial"/>
                <w:sz w:val="22"/>
                <w:szCs w:val="22"/>
              </w:rPr>
              <w:t>R3</w:t>
            </w:r>
          </w:p>
        </w:tc>
        <w:tc>
          <w:tcPr>
            <w:tcW w:w="5820" w:type="dxa"/>
          </w:tcPr>
          <w:p w14:paraId="6E5E1608" w14:textId="77777777" w:rsidR="005B0592" w:rsidRDefault="00ED290B">
            <w:pPr>
              <w:tabs>
                <w:tab w:val="left" w:pos="2178"/>
              </w:tabs>
              <w:jc w:val="both"/>
              <w:rPr>
                <w:rFonts w:ascii="Arial" w:hAnsi="Arial"/>
                <w:sz w:val="22"/>
                <w:szCs w:val="22"/>
              </w:rPr>
            </w:pPr>
            <w:r>
              <w:rPr>
                <w:rFonts w:ascii="Arial" w:hAnsi="Arial"/>
                <w:sz w:val="22"/>
                <w:szCs w:val="22"/>
              </w:rPr>
              <w:t xml:space="preserve">Nutre el Yin del riñón y despeja la deficiencia de calor, tonifica el Yang del riñón, estabiliza el Qi del riñón y los pulmones. </w:t>
            </w:r>
          </w:p>
        </w:tc>
      </w:tr>
      <w:tr w:rsidR="005B0592" w14:paraId="0F363910" w14:textId="77777777">
        <w:tc>
          <w:tcPr>
            <w:tcW w:w="1951" w:type="dxa"/>
          </w:tcPr>
          <w:p w14:paraId="12089B02" w14:textId="77777777" w:rsidR="005B0592" w:rsidRDefault="005B0592">
            <w:pPr>
              <w:tabs>
                <w:tab w:val="left" w:pos="2178"/>
              </w:tabs>
              <w:jc w:val="center"/>
              <w:rPr>
                <w:rFonts w:ascii="Arial" w:hAnsi="Arial"/>
                <w:sz w:val="22"/>
                <w:szCs w:val="22"/>
              </w:rPr>
            </w:pPr>
          </w:p>
          <w:p w14:paraId="6F2F6441" w14:textId="77777777" w:rsidR="005B0592" w:rsidRDefault="00ED290B">
            <w:pPr>
              <w:tabs>
                <w:tab w:val="left" w:pos="2178"/>
              </w:tabs>
              <w:jc w:val="center"/>
              <w:rPr>
                <w:rFonts w:ascii="Arial" w:hAnsi="Arial"/>
                <w:sz w:val="22"/>
                <w:szCs w:val="22"/>
              </w:rPr>
            </w:pPr>
            <w:r>
              <w:rPr>
                <w:rFonts w:ascii="Arial" w:hAnsi="Arial"/>
                <w:sz w:val="22"/>
                <w:szCs w:val="22"/>
              </w:rPr>
              <w:t>Fenglong</w:t>
            </w:r>
          </w:p>
        </w:tc>
        <w:tc>
          <w:tcPr>
            <w:tcW w:w="2126" w:type="dxa"/>
          </w:tcPr>
          <w:p w14:paraId="08260B3A" w14:textId="77777777" w:rsidR="005B0592" w:rsidRDefault="005B0592">
            <w:pPr>
              <w:tabs>
                <w:tab w:val="left" w:pos="2178"/>
              </w:tabs>
              <w:jc w:val="center"/>
              <w:rPr>
                <w:rFonts w:ascii="Arial" w:hAnsi="Arial"/>
                <w:sz w:val="22"/>
                <w:szCs w:val="22"/>
              </w:rPr>
            </w:pPr>
          </w:p>
          <w:p w14:paraId="36895C0E" w14:textId="77777777" w:rsidR="005B0592" w:rsidRDefault="00ED290B">
            <w:pPr>
              <w:tabs>
                <w:tab w:val="left" w:pos="2178"/>
              </w:tabs>
              <w:jc w:val="center"/>
              <w:rPr>
                <w:rFonts w:ascii="Arial" w:hAnsi="Arial"/>
                <w:sz w:val="22"/>
                <w:szCs w:val="22"/>
              </w:rPr>
            </w:pPr>
            <w:r>
              <w:rPr>
                <w:rFonts w:ascii="Arial" w:hAnsi="Arial"/>
                <w:sz w:val="22"/>
                <w:szCs w:val="22"/>
              </w:rPr>
              <w:t>E40</w:t>
            </w:r>
          </w:p>
        </w:tc>
        <w:tc>
          <w:tcPr>
            <w:tcW w:w="5820" w:type="dxa"/>
          </w:tcPr>
          <w:p w14:paraId="4E9D5077" w14:textId="77777777" w:rsidR="005B0592" w:rsidRDefault="00ED290B">
            <w:pPr>
              <w:tabs>
                <w:tab w:val="left" w:pos="2178"/>
              </w:tabs>
              <w:jc w:val="both"/>
              <w:rPr>
                <w:rFonts w:ascii="Arial" w:hAnsi="Arial"/>
                <w:sz w:val="22"/>
                <w:szCs w:val="22"/>
              </w:rPr>
            </w:pPr>
            <w:r>
              <w:rPr>
                <w:rFonts w:ascii="Arial" w:hAnsi="Arial"/>
                <w:sz w:val="22"/>
                <w:szCs w:val="22"/>
              </w:rPr>
              <w:t xml:space="preserve">Transforma la humedad y la flema, despeja la flema en el pulmón y el corazón, calma el </w:t>
            </w:r>
          </w:p>
          <w:p w14:paraId="0424B4BC" w14:textId="77777777" w:rsidR="005B0592" w:rsidRDefault="00ED290B">
            <w:pPr>
              <w:tabs>
                <w:tab w:val="left" w:pos="2178"/>
              </w:tabs>
              <w:jc w:val="both"/>
              <w:rPr>
                <w:rFonts w:ascii="Arial" w:hAnsi="Arial"/>
                <w:sz w:val="22"/>
                <w:szCs w:val="22"/>
              </w:rPr>
            </w:pPr>
            <w:r>
              <w:rPr>
                <w:rFonts w:ascii="Arial" w:hAnsi="Arial"/>
                <w:sz w:val="22"/>
                <w:szCs w:val="22"/>
              </w:rPr>
              <w:t xml:space="preserve">Shen. </w:t>
            </w:r>
          </w:p>
        </w:tc>
      </w:tr>
      <w:tr w:rsidR="005B0592" w14:paraId="7C77307E" w14:textId="77777777">
        <w:tc>
          <w:tcPr>
            <w:tcW w:w="1951" w:type="dxa"/>
          </w:tcPr>
          <w:p w14:paraId="2E37C719" w14:textId="77777777" w:rsidR="005B0592" w:rsidRDefault="005B0592">
            <w:pPr>
              <w:tabs>
                <w:tab w:val="left" w:pos="2178"/>
              </w:tabs>
              <w:jc w:val="center"/>
              <w:rPr>
                <w:rFonts w:ascii="Arial" w:hAnsi="Arial"/>
                <w:sz w:val="22"/>
                <w:szCs w:val="22"/>
              </w:rPr>
            </w:pPr>
          </w:p>
          <w:p w14:paraId="2CDDCAF9" w14:textId="77777777" w:rsidR="005B0592" w:rsidRDefault="00ED290B">
            <w:pPr>
              <w:tabs>
                <w:tab w:val="left" w:pos="2178"/>
              </w:tabs>
              <w:jc w:val="center"/>
              <w:rPr>
                <w:rFonts w:ascii="Arial" w:hAnsi="Arial"/>
                <w:sz w:val="22"/>
                <w:szCs w:val="22"/>
              </w:rPr>
            </w:pPr>
            <w:r>
              <w:rPr>
                <w:rFonts w:ascii="Arial" w:hAnsi="Arial"/>
                <w:sz w:val="22"/>
                <w:szCs w:val="22"/>
              </w:rPr>
              <w:t>Neiguan</w:t>
            </w:r>
          </w:p>
        </w:tc>
        <w:tc>
          <w:tcPr>
            <w:tcW w:w="2126" w:type="dxa"/>
          </w:tcPr>
          <w:p w14:paraId="53C07179" w14:textId="77777777" w:rsidR="005B0592" w:rsidRDefault="005B0592">
            <w:pPr>
              <w:tabs>
                <w:tab w:val="left" w:pos="2178"/>
              </w:tabs>
              <w:jc w:val="center"/>
              <w:rPr>
                <w:rFonts w:ascii="Arial" w:hAnsi="Arial"/>
                <w:sz w:val="22"/>
                <w:szCs w:val="22"/>
              </w:rPr>
            </w:pPr>
          </w:p>
          <w:p w14:paraId="18CDFF95" w14:textId="77777777" w:rsidR="005B0592" w:rsidRDefault="00ED290B">
            <w:pPr>
              <w:tabs>
                <w:tab w:val="left" w:pos="2178"/>
              </w:tabs>
              <w:jc w:val="center"/>
              <w:rPr>
                <w:rFonts w:ascii="Arial" w:hAnsi="Arial"/>
                <w:sz w:val="22"/>
                <w:szCs w:val="22"/>
              </w:rPr>
            </w:pPr>
            <w:r>
              <w:rPr>
                <w:rFonts w:ascii="Arial" w:hAnsi="Arial"/>
                <w:sz w:val="22"/>
                <w:szCs w:val="22"/>
              </w:rPr>
              <w:t>PC6</w:t>
            </w:r>
          </w:p>
        </w:tc>
        <w:tc>
          <w:tcPr>
            <w:tcW w:w="5820" w:type="dxa"/>
          </w:tcPr>
          <w:p w14:paraId="31D2BBB1" w14:textId="77777777" w:rsidR="005B0592" w:rsidRDefault="00ED290B">
            <w:pPr>
              <w:tabs>
                <w:tab w:val="left" w:pos="2178"/>
              </w:tabs>
              <w:jc w:val="both"/>
              <w:rPr>
                <w:rFonts w:ascii="Arial" w:hAnsi="Arial"/>
                <w:sz w:val="22"/>
                <w:szCs w:val="22"/>
              </w:rPr>
            </w:pPr>
            <w:r>
              <w:rPr>
                <w:rFonts w:ascii="Arial" w:hAnsi="Arial"/>
                <w:sz w:val="22"/>
                <w:szCs w:val="22"/>
              </w:rPr>
              <w:t>Descongestiona el pecho, armoniza el estómago, abre el meridiano.</w:t>
            </w:r>
          </w:p>
        </w:tc>
      </w:tr>
      <w:tr w:rsidR="005B0592" w14:paraId="6C61BB0F" w14:textId="77777777">
        <w:tc>
          <w:tcPr>
            <w:tcW w:w="1951" w:type="dxa"/>
          </w:tcPr>
          <w:p w14:paraId="038C3EA6" w14:textId="77777777" w:rsidR="005B0592" w:rsidRDefault="00ED290B">
            <w:pPr>
              <w:tabs>
                <w:tab w:val="left" w:pos="2178"/>
              </w:tabs>
              <w:jc w:val="center"/>
              <w:rPr>
                <w:rFonts w:ascii="Arial" w:hAnsi="Arial"/>
                <w:sz w:val="22"/>
                <w:szCs w:val="22"/>
              </w:rPr>
            </w:pPr>
            <w:r>
              <w:rPr>
                <w:rFonts w:ascii="Arial" w:hAnsi="Arial"/>
                <w:sz w:val="22"/>
                <w:szCs w:val="22"/>
              </w:rPr>
              <w:t>Hegu</w:t>
            </w:r>
          </w:p>
        </w:tc>
        <w:tc>
          <w:tcPr>
            <w:tcW w:w="2126" w:type="dxa"/>
          </w:tcPr>
          <w:p w14:paraId="364C16EF" w14:textId="77777777" w:rsidR="005B0592" w:rsidRDefault="00ED290B">
            <w:pPr>
              <w:tabs>
                <w:tab w:val="left" w:pos="2178"/>
              </w:tabs>
              <w:jc w:val="center"/>
              <w:rPr>
                <w:rFonts w:ascii="Arial" w:hAnsi="Arial"/>
                <w:sz w:val="22"/>
                <w:szCs w:val="22"/>
              </w:rPr>
            </w:pPr>
            <w:r>
              <w:rPr>
                <w:rFonts w:ascii="Arial" w:hAnsi="Arial"/>
                <w:sz w:val="22"/>
                <w:szCs w:val="22"/>
              </w:rPr>
              <w:t>IG4</w:t>
            </w:r>
          </w:p>
        </w:tc>
        <w:tc>
          <w:tcPr>
            <w:tcW w:w="5820" w:type="dxa"/>
          </w:tcPr>
          <w:p w14:paraId="2018A43F" w14:textId="77777777" w:rsidR="005B0592" w:rsidRDefault="00ED290B">
            <w:pPr>
              <w:tabs>
                <w:tab w:val="left" w:pos="2178"/>
              </w:tabs>
              <w:jc w:val="both"/>
              <w:rPr>
                <w:rFonts w:ascii="Arial" w:hAnsi="Arial"/>
                <w:sz w:val="22"/>
                <w:szCs w:val="22"/>
              </w:rPr>
            </w:pPr>
            <w:r>
              <w:rPr>
                <w:rFonts w:ascii="Arial" w:hAnsi="Arial"/>
                <w:sz w:val="22"/>
                <w:szCs w:val="22"/>
              </w:rPr>
              <w:t xml:space="preserve">Regula el Qi defensivo y la sudoración, alivia el dolor. </w:t>
            </w:r>
          </w:p>
        </w:tc>
      </w:tr>
      <w:tr w:rsidR="005B0592" w14:paraId="593A07B8" w14:textId="77777777">
        <w:tc>
          <w:tcPr>
            <w:tcW w:w="1951" w:type="dxa"/>
          </w:tcPr>
          <w:p w14:paraId="7C5214CC" w14:textId="77777777" w:rsidR="005B0592" w:rsidRDefault="005B0592">
            <w:pPr>
              <w:tabs>
                <w:tab w:val="left" w:pos="2178"/>
              </w:tabs>
              <w:jc w:val="center"/>
              <w:rPr>
                <w:rFonts w:ascii="Arial" w:hAnsi="Arial"/>
                <w:sz w:val="22"/>
                <w:szCs w:val="22"/>
              </w:rPr>
            </w:pPr>
          </w:p>
          <w:p w14:paraId="73F4DB1B" w14:textId="77777777" w:rsidR="005B0592" w:rsidRDefault="00ED290B">
            <w:pPr>
              <w:tabs>
                <w:tab w:val="left" w:pos="2178"/>
              </w:tabs>
              <w:jc w:val="center"/>
              <w:rPr>
                <w:rFonts w:ascii="Arial" w:hAnsi="Arial"/>
                <w:sz w:val="22"/>
                <w:szCs w:val="22"/>
              </w:rPr>
            </w:pPr>
            <w:r>
              <w:rPr>
                <w:rFonts w:ascii="Arial" w:hAnsi="Arial"/>
                <w:sz w:val="22"/>
                <w:szCs w:val="22"/>
              </w:rPr>
              <w:t>Shenshu</w:t>
            </w:r>
          </w:p>
        </w:tc>
        <w:tc>
          <w:tcPr>
            <w:tcW w:w="2126" w:type="dxa"/>
          </w:tcPr>
          <w:p w14:paraId="13868489" w14:textId="77777777" w:rsidR="005B0592" w:rsidRDefault="005B0592">
            <w:pPr>
              <w:tabs>
                <w:tab w:val="left" w:pos="2178"/>
              </w:tabs>
              <w:jc w:val="center"/>
              <w:rPr>
                <w:rFonts w:ascii="Arial" w:hAnsi="Arial"/>
                <w:sz w:val="22"/>
                <w:szCs w:val="22"/>
              </w:rPr>
            </w:pPr>
          </w:p>
          <w:p w14:paraId="2A973AA3" w14:textId="77777777" w:rsidR="005B0592" w:rsidRDefault="00ED290B">
            <w:pPr>
              <w:tabs>
                <w:tab w:val="left" w:pos="2178"/>
              </w:tabs>
              <w:jc w:val="center"/>
              <w:rPr>
                <w:rFonts w:ascii="Arial" w:hAnsi="Arial"/>
                <w:sz w:val="22"/>
                <w:szCs w:val="22"/>
              </w:rPr>
            </w:pPr>
            <w:r>
              <w:rPr>
                <w:rFonts w:ascii="Arial" w:hAnsi="Arial"/>
                <w:sz w:val="22"/>
                <w:szCs w:val="22"/>
              </w:rPr>
              <w:t>V23</w:t>
            </w:r>
          </w:p>
        </w:tc>
        <w:tc>
          <w:tcPr>
            <w:tcW w:w="5820" w:type="dxa"/>
          </w:tcPr>
          <w:p w14:paraId="06B141E8" w14:textId="77777777" w:rsidR="005B0592" w:rsidRDefault="00ED290B">
            <w:pPr>
              <w:tabs>
                <w:tab w:val="left" w:pos="2178"/>
              </w:tabs>
              <w:jc w:val="both"/>
              <w:rPr>
                <w:rFonts w:ascii="Arial" w:hAnsi="Arial"/>
                <w:sz w:val="22"/>
                <w:szCs w:val="22"/>
              </w:rPr>
            </w:pPr>
            <w:r>
              <w:rPr>
                <w:rFonts w:ascii="Arial" w:hAnsi="Arial"/>
                <w:sz w:val="22"/>
                <w:szCs w:val="22"/>
              </w:rPr>
              <w:t xml:space="preserve">Fortalece riñones, nutre el Yin del riñón, , fortalece la parte inferior de la espalda. </w:t>
            </w:r>
          </w:p>
        </w:tc>
      </w:tr>
      <w:tr w:rsidR="005B0592" w14:paraId="7F06ECDF" w14:textId="77777777">
        <w:tc>
          <w:tcPr>
            <w:tcW w:w="1951" w:type="dxa"/>
          </w:tcPr>
          <w:p w14:paraId="2246FEA7" w14:textId="77777777" w:rsidR="005B0592" w:rsidRDefault="00ED290B">
            <w:pPr>
              <w:tabs>
                <w:tab w:val="left" w:pos="2178"/>
              </w:tabs>
              <w:jc w:val="center"/>
              <w:rPr>
                <w:rFonts w:ascii="Arial" w:hAnsi="Arial"/>
                <w:sz w:val="22"/>
                <w:szCs w:val="22"/>
              </w:rPr>
            </w:pPr>
            <w:r>
              <w:rPr>
                <w:rFonts w:ascii="Arial" w:hAnsi="Arial"/>
                <w:sz w:val="22"/>
                <w:szCs w:val="22"/>
              </w:rPr>
              <w:t>Yinlingquan</w:t>
            </w:r>
          </w:p>
        </w:tc>
        <w:tc>
          <w:tcPr>
            <w:tcW w:w="2126" w:type="dxa"/>
          </w:tcPr>
          <w:p w14:paraId="18A41A39" w14:textId="77777777" w:rsidR="005B0592" w:rsidRDefault="00ED290B">
            <w:pPr>
              <w:tabs>
                <w:tab w:val="left" w:pos="2178"/>
              </w:tabs>
              <w:jc w:val="center"/>
              <w:rPr>
                <w:rFonts w:ascii="Arial" w:hAnsi="Arial"/>
                <w:sz w:val="22"/>
                <w:szCs w:val="22"/>
              </w:rPr>
            </w:pPr>
            <w:r>
              <w:rPr>
                <w:rFonts w:ascii="Arial" w:hAnsi="Arial"/>
                <w:sz w:val="22"/>
                <w:szCs w:val="22"/>
              </w:rPr>
              <w:t>B9</w:t>
            </w:r>
          </w:p>
        </w:tc>
        <w:tc>
          <w:tcPr>
            <w:tcW w:w="5820" w:type="dxa"/>
          </w:tcPr>
          <w:p w14:paraId="6A8EB01B" w14:textId="77777777" w:rsidR="005B0592" w:rsidRDefault="00ED290B">
            <w:pPr>
              <w:tabs>
                <w:tab w:val="left" w:pos="2178"/>
              </w:tabs>
              <w:jc w:val="both"/>
              <w:rPr>
                <w:rFonts w:ascii="Arial" w:hAnsi="Arial"/>
                <w:sz w:val="22"/>
                <w:szCs w:val="22"/>
              </w:rPr>
            </w:pPr>
            <w:r>
              <w:rPr>
                <w:rFonts w:ascii="Arial" w:hAnsi="Arial"/>
                <w:sz w:val="22"/>
                <w:szCs w:val="22"/>
              </w:rPr>
              <w:t xml:space="preserve">Regula los puntos de agua, el bazo, beneficioso para calentador inferior. </w:t>
            </w:r>
          </w:p>
        </w:tc>
      </w:tr>
    </w:tbl>
    <w:p w14:paraId="47BA2AE3" w14:textId="6726AF13" w:rsidR="005B0592" w:rsidRDefault="005B0592">
      <w:pPr>
        <w:rPr>
          <w:rFonts w:ascii="Arial" w:hAnsi="Arial" w:cs="Arial"/>
        </w:rPr>
      </w:pPr>
    </w:p>
    <w:p w14:paraId="4C0C1451" w14:textId="62AE2DA5" w:rsidR="005B0592" w:rsidRDefault="001A0EA8">
      <w:pPr>
        <w:rPr>
          <w:rFonts w:ascii="Arial" w:hAnsi="Arial" w:cs="Arial"/>
        </w:rPr>
      </w:pPr>
      <w:r>
        <w:rPr>
          <w:rFonts w:ascii="Arial" w:hAnsi="Arial" w:cs="Arial"/>
          <w:noProof/>
          <w:lang w:eastAsia="es-ES_tradnl"/>
        </w:rPr>
        <mc:AlternateContent>
          <mc:Choice Requires="wps">
            <w:drawing>
              <wp:anchor distT="0" distB="0" distL="0" distR="0" simplePos="0" relativeHeight="251656704" behindDoc="0" locked="0" layoutInCell="1" allowOverlap="1" wp14:anchorId="1E363410" wp14:editId="4F19EF41">
                <wp:simplePos x="0" y="0"/>
                <wp:positionH relativeFrom="column">
                  <wp:posOffset>457200</wp:posOffset>
                </wp:positionH>
                <wp:positionV relativeFrom="paragraph">
                  <wp:posOffset>131445</wp:posOffset>
                </wp:positionV>
                <wp:extent cx="4648200" cy="481330"/>
                <wp:effectExtent l="0" t="0" r="0" b="5715"/>
                <wp:wrapNone/>
                <wp:docPr id="27"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48133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88FD6C6" w14:textId="70279C46" w:rsidR="005B0592" w:rsidRDefault="001A0EA8">
                            <w:pPr>
                              <w:rPr>
                                <w:rFonts w:ascii="Arial" w:hAnsi="Arial" w:cs="Arial"/>
                                <w:sz w:val="18"/>
                                <w:szCs w:val="18"/>
                                <w:lang w:val="es-ES"/>
                              </w:rPr>
                            </w:pPr>
                            <w:r>
                              <w:rPr>
                                <w:rFonts w:ascii="Arial" w:hAnsi="Arial" w:cs="Arial"/>
                                <w:sz w:val="18"/>
                                <w:szCs w:val="18"/>
                                <w:lang w:val="es-ES"/>
                              </w:rPr>
                              <w:t>Construcción propia basada en</w:t>
                            </w:r>
                            <w:r w:rsidR="00ED290B">
                              <w:rPr>
                                <w:rFonts w:ascii="Arial" w:hAnsi="Arial" w:cs="Arial"/>
                                <w:sz w:val="18"/>
                                <w:szCs w:val="18"/>
                                <w:lang w:val="es-ES"/>
                              </w:rPr>
                              <w:t xml:space="preserve"> Focks C. Atlas de Acupuntura; 2º Edición, ElseiverMasson: 2009.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1027" o:spid="_x0000_s1026" type="#_x0000_t202" style="position:absolute;margin-left:36pt;margin-top:10.35pt;width:366pt;height:37.9pt;z-index:251656704;visibility:visible;mso-wrap-style:square;mso-width-percent:0;mso-height-percent:200;mso-wrap-distance-left:0;mso-wrap-distance-top:0;mso-wrap-distance-right:0;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O4Z34CAAAKBQAADgAAAGRycy9lMm9Eb2MueG1srFTbjtsgEH2v1H9AvGd9WXKxFWe1l6aqtL1I&#10;234AMThGxUCBxN5W/fcOOMmm21aqqvoBAzMcZuacYXk1dBLtuXVCqwpnFylGXNWaCbWt8KeP68kC&#10;I+epYlRqxSv8yB2+Wr18sexNyXPdasm4RQCiXNmbCrfemzJJXN3yjroLbbgCY6NtRz0s7TZhlvaA&#10;3skkT9NZ0mvLjNU1dw5270YjXkX8puG1f980jnskKwyx+TjaOG7CmKyWtNxaalpRH8Kg/xBFR4WC&#10;S09Qd9RTtLPiF6hO1FY73fiLWneJbhpR85gDZJOlz7J5aKnhMRcojjOnMrn/B1u/23+wSLAK53OM&#10;FO2AoyyFORSmN64E+4MBDz/c6AFMMUln7nX92SGlb1uqtvzaWt23nDIILAsnk7OjI44LIJv+rWZw&#10;Ad15HYGGxnahalAHBOhA0OOJFD54VMMmmZEFMI1RDTayyC4vI2sJLY+njXX+NdcdCpMKWyA9otP9&#10;vfMhGloeXcJlTkvB1kLKuLDbza20aE9BIOv4xQSeuUkVnJUOx0bEcQeChDuCLYQbCf9WZDlJb/Ji&#10;sp4t5hPSkOmkmKeLSZoVN8UsJQW5W38PAWakbAVjXN0LxY/iy8jfkXtog1E2UX6or3AxzacjRX9M&#10;Mo3f75LshIdelKKr8OLkRMtA7CvFIG1aeirkOE9+Dj9WGWpw/MeqRBkE5kcN+GEzAErQxkazRxCE&#10;1cAXUAsPCExabb9i1EMzVth92VHLMZJvFIiqyAgJ3RsXZDrPYWHPLZtzC1U1QFXYYzROb/3Y8Ttj&#10;xbaFm44yvgYhrkXUyFNUB/lCw8VkDo9D6OjzdfR6esJWPwAAAP//AwBQSwMEFAAGAAgAAAAhABj5&#10;agndAAAACAEAAA8AAABkcnMvZG93bnJldi54bWxMj0tPwzAQhO9I/AdrkbhRm4g+CNlUFRUXDkgU&#10;JDi6sRNH+CXbTcO/ZznBcXZWM98029lZNumUx+ARbhcCmPZdUKMfEN7fnm42wHKRXkkbvEb41hm2&#10;7eVFI2sVzv5VT4cyMArxuZYIppRYc547o53MixC1J68PyclCMg1cJXmmcGd5JcSKOzl6ajAy6kej&#10;u6/DySF8ODOqfXr57JWd9s/9bhnnFBGvr+bdA7Ci5/L3DL/4hA4tMR3DyavMLMK6oikFoRJrYORv&#10;xB0djgj3qyXwtuH/B7Q/AAAA//8DAFBLAQItABQABgAIAAAAIQDkmcPA+wAAAOEBAAATAAAAAAAA&#10;AAAAAAAAAAAAAABbQ29udGVudF9UeXBlc10ueG1sUEsBAi0AFAAGAAgAAAAhACOyauHXAAAAlAEA&#10;AAsAAAAAAAAAAAAAAAAALAEAAF9yZWxzLy5yZWxzUEsBAi0AFAAGAAgAAAAhAISTuGd+AgAACgUA&#10;AA4AAAAAAAAAAAAAAAAALAIAAGRycy9lMm9Eb2MueG1sUEsBAi0AFAAGAAgAAAAhABj5agndAAAA&#10;CAEAAA8AAAAAAAAAAAAAAAAA1gQAAGRycy9kb3ducmV2LnhtbFBLBQYAAAAABAAEAPMAAADgBQAA&#10;AAA=&#10;" stroked="f">
                <v:textbox style="mso-fit-shape-to-text:t">
                  <w:txbxContent>
                    <w:p w14:paraId="688FD6C6" w14:textId="70279C46" w:rsidR="005B0592" w:rsidRDefault="001A0EA8">
                      <w:pPr>
                        <w:rPr>
                          <w:rFonts w:ascii="Arial" w:hAnsi="Arial" w:cs="Arial"/>
                          <w:sz w:val="18"/>
                          <w:szCs w:val="18"/>
                          <w:lang w:val="es-ES"/>
                        </w:rPr>
                      </w:pPr>
                      <w:r>
                        <w:rPr>
                          <w:rFonts w:ascii="Arial" w:hAnsi="Arial" w:cs="Arial"/>
                          <w:sz w:val="18"/>
                          <w:szCs w:val="18"/>
                          <w:lang w:val="es-ES"/>
                        </w:rPr>
                        <w:t>Construcción propia basada en</w:t>
                      </w:r>
                      <w:r w:rsidR="00ED290B">
                        <w:rPr>
                          <w:rFonts w:ascii="Arial" w:hAnsi="Arial" w:cs="Arial"/>
                          <w:sz w:val="18"/>
                          <w:szCs w:val="18"/>
                          <w:lang w:val="es-ES"/>
                        </w:rPr>
                        <w:t xml:space="preserve"> </w:t>
                      </w:r>
                      <w:proofErr w:type="spellStart"/>
                      <w:r w:rsidR="00ED290B">
                        <w:rPr>
                          <w:rFonts w:ascii="Arial" w:hAnsi="Arial" w:cs="Arial"/>
                          <w:sz w:val="18"/>
                          <w:szCs w:val="18"/>
                          <w:lang w:val="es-ES"/>
                        </w:rPr>
                        <w:t>Focks</w:t>
                      </w:r>
                      <w:proofErr w:type="spellEnd"/>
                      <w:r w:rsidR="00ED290B">
                        <w:rPr>
                          <w:rFonts w:ascii="Arial" w:hAnsi="Arial" w:cs="Arial"/>
                          <w:sz w:val="18"/>
                          <w:szCs w:val="18"/>
                          <w:lang w:val="es-ES"/>
                        </w:rPr>
                        <w:t xml:space="preserve"> C. Atlas de Acupuntura; 2º Edición, </w:t>
                      </w:r>
                      <w:proofErr w:type="spellStart"/>
                      <w:r w:rsidR="00ED290B">
                        <w:rPr>
                          <w:rFonts w:ascii="Arial" w:hAnsi="Arial" w:cs="Arial"/>
                          <w:sz w:val="18"/>
                          <w:szCs w:val="18"/>
                          <w:lang w:val="es-ES"/>
                        </w:rPr>
                        <w:t>ElseiverMasson</w:t>
                      </w:r>
                      <w:proofErr w:type="spellEnd"/>
                      <w:r w:rsidR="00ED290B">
                        <w:rPr>
                          <w:rFonts w:ascii="Arial" w:hAnsi="Arial" w:cs="Arial"/>
                          <w:sz w:val="18"/>
                          <w:szCs w:val="18"/>
                          <w:lang w:val="es-ES"/>
                        </w:rPr>
                        <w:t>: 2009.</w:t>
                      </w:r>
                    </w:p>
                  </w:txbxContent>
                </v:textbox>
              </v:shape>
            </w:pict>
          </mc:Fallback>
        </mc:AlternateContent>
      </w:r>
    </w:p>
    <w:p w14:paraId="067436B4" w14:textId="77777777" w:rsidR="005B0592" w:rsidRDefault="005B0592">
      <w:pPr>
        <w:rPr>
          <w:rFonts w:ascii="Arial" w:hAnsi="Arial" w:cs="Arial"/>
        </w:rPr>
      </w:pPr>
    </w:p>
    <w:p w14:paraId="3363519C" w14:textId="77777777" w:rsidR="005B0592" w:rsidRDefault="005B0592">
      <w:pPr>
        <w:rPr>
          <w:rFonts w:ascii="Arial" w:hAnsi="Arial" w:cs="Arial"/>
        </w:rPr>
      </w:pPr>
    </w:p>
    <w:p w14:paraId="043EACAF" w14:textId="460FAEB5" w:rsidR="005B0592" w:rsidRDefault="005B0592">
      <w:pPr>
        <w:rPr>
          <w:rFonts w:ascii="Arial" w:hAnsi="Arial" w:cs="Arial"/>
        </w:rPr>
      </w:pPr>
    </w:p>
    <w:p w14:paraId="73737556" w14:textId="77777777" w:rsidR="005B0592" w:rsidRDefault="005B0592">
      <w:pPr>
        <w:rPr>
          <w:rFonts w:ascii="Arial" w:hAnsi="Arial" w:cs="Arial"/>
        </w:rPr>
      </w:pPr>
    </w:p>
    <w:p w14:paraId="2F695430" w14:textId="77777777" w:rsidR="005B0592" w:rsidRDefault="005B0592">
      <w:pPr>
        <w:rPr>
          <w:rFonts w:ascii="Arial" w:hAnsi="Arial" w:cs="Arial"/>
        </w:rPr>
      </w:pPr>
    </w:p>
    <w:p w14:paraId="76CF774C" w14:textId="77777777" w:rsidR="005B0592" w:rsidRDefault="005B0592">
      <w:pPr>
        <w:rPr>
          <w:rFonts w:ascii="Arial" w:hAnsi="Arial" w:cs="Arial"/>
        </w:rPr>
      </w:pPr>
    </w:p>
    <w:p w14:paraId="102091DA" w14:textId="77777777" w:rsidR="005B0592" w:rsidRDefault="005B0592">
      <w:pPr>
        <w:rPr>
          <w:rFonts w:ascii="Arial" w:hAnsi="Arial" w:cs="Arial"/>
        </w:rPr>
      </w:pPr>
    </w:p>
    <w:p w14:paraId="4C8819C2" w14:textId="77777777" w:rsidR="005B0592" w:rsidRDefault="005B0592">
      <w:pPr>
        <w:rPr>
          <w:rFonts w:ascii="Arial" w:hAnsi="Arial" w:cs="Arial"/>
        </w:rPr>
      </w:pPr>
    </w:p>
    <w:p w14:paraId="1C50FED8" w14:textId="77777777" w:rsidR="005B0592" w:rsidRDefault="00ED290B">
      <w:pPr>
        <w:rPr>
          <w:rFonts w:ascii="Arial" w:hAnsi="Arial" w:cs="Arial"/>
        </w:rPr>
      </w:pPr>
      <w:r>
        <w:rPr>
          <w:rFonts w:ascii="Arial" w:hAnsi="Arial" w:cs="Arial"/>
        </w:rPr>
        <w:lastRenderedPageBreak/>
        <w:t>Anexos</w:t>
      </w:r>
    </w:p>
    <w:p w14:paraId="6A4D765D" w14:textId="77777777" w:rsidR="005B0592" w:rsidRDefault="00ED290B">
      <w:pPr>
        <w:rPr>
          <w:rFonts w:ascii="Arial" w:hAnsi="Arial" w:cs="Arial"/>
        </w:rPr>
      </w:pPr>
      <w:r>
        <w:rPr>
          <w:rFonts w:ascii="Arial" w:hAnsi="Arial" w:cs="Arial"/>
        </w:rPr>
        <w:t>Gráfica 1</w:t>
      </w:r>
    </w:p>
    <w:p w14:paraId="38C2BC15" w14:textId="77777777" w:rsidR="005B0592" w:rsidRDefault="00B23C99">
      <w:r>
        <w:rPr>
          <w:noProof/>
          <w:lang w:eastAsia="es-ES_tradnl"/>
        </w:rPr>
        <mc:AlternateContent>
          <mc:Choice Requires="wps">
            <w:drawing>
              <wp:anchor distT="0" distB="0" distL="0" distR="0" simplePos="0" relativeHeight="251655680" behindDoc="0" locked="0" layoutInCell="1" allowOverlap="1" wp14:anchorId="3648510A" wp14:editId="0F59B58B">
                <wp:simplePos x="0" y="0"/>
                <wp:positionH relativeFrom="column">
                  <wp:posOffset>89535</wp:posOffset>
                </wp:positionH>
                <wp:positionV relativeFrom="paragraph">
                  <wp:posOffset>2801620</wp:posOffset>
                </wp:positionV>
                <wp:extent cx="5440680" cy="334010"/>
                <wp:effectExtent l="635" t="0" r="0" b="1270"/>
                <wp:wrapNone/>
                <wp:docPr id="26" name="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0680" cy="33401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F1F1907" w14:textId="07A01FBB" w:rsidR="005B0592" w:rsidRDefault="001A0EA8">
                            <w:pPr>
                              <w:jc w:val="center"/>
                              <w:rPr>
                                <w:sz w:val="16"/>
                                <w:szCs w:val="16"/>
                                <w:lang w:val="es-ES"/>
                              </w:rPr>
                            </w:pPr>
                            <w:r>
                              <w:rPr>
                                <w:rFonts w:ascii="Arial" w:hAnsi="Arial"/>
                                <w:color w:val="211E1E"/>
                                <w:sz w:val="16"/>
                                <w:szCs w:val="16"/>
                                <w:lang w:val="es-CO"/>
                              </w:rPr>
                              <w:t>Construcción propia basada en</w:t>
                            </w:r>
                            <w:r w:rsidR="00ED290B">
                              <w:rPr>
                                <w:rFonts w:ascii="Arial" w:hAnsi="Arial"/>
                                <w:color w:val="211E1E"/>
                                <w:sz w:val="16"/>
                                <w:szCs w:val="16"/>
                                <w:lang w:val="es-CO"/>
                              </w:rPr>
                              <w:t xml:space="preserve"> Barrera M, Pinilla A, Cortés E, Mora G, </w:t>
                            </w:r>
                            <w:r w:rsidR="00ED290B">
                              <w:rPr>
                                <w:rFonts w:ascii="Arial" w:hAnsi="Arial" w:cs="Arial"/>
                                <w:color w:val="211E1E"/>
                                <w:sz w:val="16"/>
                                <w:szCs w:val="16"/>
                                <w:lang w:val="es-CO"/>
                              </w:rPr>
                              <w:t>Rodríguez M et al. Síndrome metabólico: una mirada interdisciplinaria. Rev Colomb Cardiol. 2008; 15: 111-126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1028" o:spid="_x0000_s1027" type="#_x0000_t202" style="position:absolute;margin-left:7.05pt;margin-top:220.6pt;width:428.4pt;height:26.3pt;z-index:251655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Fnfj4ECAAARBQAADgAAAGRycy9lMm9Eb2MueG1srFRbb9sgFH6ftP+AeE99qZPGVp2qTZZpUneR&#10;uv0AAjhGw8CAxO6m/fcdcJKmu0jTND9gDufwndt3uL4ZOon23DqhVY2zixQjrqhmQm1r/OnjejLH&#10;yHmiGJFa8Ro/codvFi9fXPem4rlutWTcIgBRrupNjVvvTZUkjra8I+5CG65A2WjbEQ+i3SbMkh7Q&#10;O5nkaTpLem2ZsZpy5+B0NSrxIuI3Daf+fdM47pGsMcTm42rjuglrsrgm1dYS0wp6CIP8QxQdEQqc&#10;nqBWxBO0s+IXqE5Qq51u/AXVXaKbRlAec4BssvSnbB5aYnjMBYrjzKlM7v/B0nf7DxYJVuN8hpEi&#10;HfQoS/N5KExvXAX6BwMWfrjTA6hiks7ca/rZIaWXLVFbfmut7ltOGASWhZvJ2dURxwWQTf9WM3BA&#10;dl5HoKGxXaga1AEBOjTo8dQUPnhE4XBaFOlsDioKusvLAsoUXZDqeNtY519z3aGwqbGFpkd0sr93&#10;PkRDqqNJcOa0FGwtpIyC3W6W0qI9AYKs43dAf2YmVTBWOlwbEccTCBJ8BF0INzb8W5nlRXqXl5P1&#10;bH41KZpiOimv0vkkzcq7cpYWZbFafw8BZkXVCsa4uheKH8mXFX/X3MMYjLSJ9EN9jctpPh1b9Mck&#10;0/j9LslOeJhFKboaz09GpAqNfaUYpE0qT4Qc98nz8GOVoQbHf6xKpEHo/MgBP2yGSLXIkUCRjWaP&#10;wAuroW3QYXhHYNNq+xWjHmayxu7LjliOkXyjgFtlBlyAIY5CMb3KQbDnms25higKUDX2GI3bpR8H&#10;f2es2LbgaWSz0rfAx0ZEqjxFdWAxzF3M6fBGhME+l6PV00u2+AEAAP//AwBQSwMEFAAGAAgAAAAh&#10;AAoqTQfeAAAACgEAAA8AAABkcnMvZG93bnJldi54bWxMj8tOwzAQRfdI/IM1SGwQdVJC8yBOBUig&#10;blv6AZN4mkTEdhS7Tfr3DCtY3pmjO2fK7WIGcaHJ984qiFcRCLKN071tFRy/Ph4zED6g1Tg4Swqu&#10;5GFb3d6UWGg32z1dDqEVXGJ9gQq6EMZCSt90ZNCv3EiWdyc3GQwcp1bqCWcuN4NcR9FGGuwtX+hw&#10;pPeOmu/D2Sg47eaH53yuP8Mx3SebN+zT2l2Vur9bXl9ABFrCHwy/+qwOFTvV7my1FwPnJGZSQZLE&#10;axAMZGmUg6h5kj9lIKtS/n+h+gEAAP//AwBQSwECLQAUAAYACAAAACEA5JnDwPsAAADhAQAAEwAA&#10;AAAAAAAAAAAAAAAAAAAAW0NvbnRlbnRfVHlwZXNdLnhtbFBLAQItABQABgAIAAAAIQAjsmrh1wAA&#10;AJQBAAALAAAAAAAAAAAAAAAAACwBAABfcmVscy8ucmVsc1BLAQItABQABgAIAAAAIQBkWd+PgQIA&#10;ABEFAAAOAAAAAAAAAAAAAAAAACwCAABkcnMvZTJvRG9jLnhtbFBLAQItABQABgAIAAAAIQAKKk0H&#10;3gAAAAoBAAAPAAAAAAAAAAAAAAAAANkEAABkcnMvZG93bnJldi54bWxQSwUGAAAAAAQABADzAAAA&#10;5AUAAAAA&#10;" stroked="f">
                <v:textbox>
                  <w:txbxContent>
                    <w:p w14:paraId="3F1F1907" w14:textId="07A01FBB" w:rsidR="005B0592" w:rsidRDefault="001A0EA8">
                      <w:pPr>
                        <w:jc w:val="center"/>
                        <w:rPr>
                          <w:sz w:val="16"/>
                          <w:szCs w:val="16"/>
                          <w:lang w:val="es-ES"/>
                        </w:rPr>
                      </w:pPr>
                      <w:r>
                        <w:rPr>
                          <w:rFonts w:ascii="Arial" w:hAnsi="Arial"/>
                          <w:color w:val="211E1E"/>
                          <w:sz w:val="16"/>
                          <w:szCs w:val="16"/>
                          <w:lang w:val="es-CO"/>
                        </w:rPr>
                        <w:t>Construcción propia basada en</w:t>
                      </w:r>
                      <w:r w:rsidR="00ED290B">
                        <w:rPr>
                          <w:rFonts w:ascii="Arial" w:hAnsi="Arial"/>
                          <w:color w:val="211E1E"/>
                          <w:sz w:val="16"/>
                          <w:szCs w:val="16"/>
                          <w:lang w:val="es-CO"/>
                        </w:rPr>
                        <w:t xml:space="preserve"> Barrera M, Pinilla A, Cortés E, Mora G, </w:t>
                      </w:r>
                      <w:r w:rsidR="00ED290B">
                        <w:rPr>
                          <w:rFonts w:ascii="Arial" w:hAnsi="Arial" w:cs="Arial"/>
                          <w:color w:val="211E1E"/>
                          <w:sz w:val="16"/>
                          <w:szCs w:val="16"/>
                          <w:lang w:val="es-CO"/>
                        </w:rPr>
                        <w:t>Rodríguez M et al. Síndrome metabólico: una mirada interdisciplinaria. Rev Colomb Cardiol. 2008; 15: 111-126</w:t>
                      </w:r>
                    </w:p>
                  </w:txbxContent>
                </v:textbox>
              </v:shape>
            </w:pict>
          </mc:Fallback>
        </mc:AlternateContent>
      </w:r>
      <w:r>
        <w:rPr>
          <w:noProof/>
          <w:lang w:eastAsia="es-ES_tradnl"/>
        </w:rPr>
        <mc:AlternateContent>
          <mc:Choice Requires="wps">
            <w:drawing>
              <wp:anchor distT="0" distB="0" distL="114300" distR="114300" simplePos="0" relativeHeight="251658752" behindDoc="0" locked="0" layoutInCell="1" allowOverlap="1" wp14:anchorId="7F963EDA" wp14:editId="41F63B97">
                <wp:simplePos x="0" y="0"/>
                <wp:positionH relativeFrom="column">
                  <wp:posOffset>0</wp:posOffset>
                </wp:positionH>
                <wp:positionV relativeFrom="paragraph">
                  <wp:posOffset>0</wp:posOffset>
                </wp:positionV>
                <wp:extent cx="635000" cy="635000"/>
                <wp:effectExtent l="12700" t="12700" r="25400" b="25400"/>
                <wp:wrapNone/>
                <wp:docPr id="25" name="AutoShape 1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16" o:spid="_x0000_s1026" type="#_x0000_t32"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rXzNoBAACaAwAADgAAAGRycy9lMm9Eb2MueG1srFPNbtswDL4P2DsIui92MiTYjDhFka67dFuA&#10;dA+gSLItTBIFSomTtx+l/HTdbkN9IEiR/Eh+pJd3R2fZQWM04Fs+ndScaS9BGd+3/Ofz44dPnMUk&#10;vBIWvG75SUd+t3r/bjmGRs9gAKs0MgLxsRlDy4eUQlNVUQ7aiTiBoD05O0AnEpnYVwrFSOjOVrO6&#10;XlQjoAoIUsdIrw9nJ18V/K7TMv3ouqgTsy2n3lKRWOQuy2q1FE2PIgxGXtoQ/9GFE8ZT0RvUg0iC&#10;7dH8A+WMRIjQpYkEV0HXGanLDDTNtP5rmu0ggi6zEDkx3GiKbwcrvx82yIxq+WzOmReOdnS/T1BK&#10;s+mCs8EopfNuM1djiA2lrP0G87Ty6LfhCeSvyDxstSW6cyAZ60H4XheU51Mg0JJevcrPRgxUfjd+&#10;A0UxggoXFo8duoxP/LBjWdbptix9TEzS4+LjvK5ppZJcF50arERzTQ4Y01cNjmWl5TGhMP2Q1uA9&#10;9Qk4LaXE4Smmc+I1IVf28GisLddhPRtb/nlOBGVPBGtUdhYD+93aIjuIfF/lyzRRF6/CEPZeFbBB&#10;C/Xloidh7FmneOsp7crImegdqNMGM1x+pwMowJdjzRf2p12iXn6p1W8AAAD//wMAUEsDBBQABgAI&#10;AAAAIQDLHvB21wAAAAUBAAAPAAAAZHJzL2Rvd25yZXYueG1sTI9BSwMxEIXvgv8hjODNJhUqZd1s&#10;kYIe9CCtxfPsZtxEk8mySdvtvzcVQS/DPN7w5nv1agpeHGhMLrKG+UyBIO6icdxr2L093ixBpIxs&#10;0EcmDSdKsGouL2qsTDzyhg7b3IsSwqlCDTbnoZIydZYCplkciIv3EceAucixl2bEYwkPXt4qdScD&#10;Oi4fLA60ttR9bfdBw+d8sThtXPu0HL1dv9D7c+deUevrq+nhHkSmKf8dwxm/oENTmNq4Z5OE11CK&#10;5J959pQqsv1dZFPL//TNNwAAAP//AwBQSwECLQAUAAYACAAAACEA5JnDwPsAAADhAQAAEwAAAAAA&#10;AAAAAAAAAAAAAAAAW0NvbnRlbnRfVHlwZXNdLnhtbFBLAQItABQABgAIAAAAIQAjsmrh1wAAAJQB&#10;AAALAAAAAAAAAAAAAAAAACwBAABfcmVscy8ucmVsc1BLAQItABQABgAIAAAAIQC5KtfM2gEAAJoD&#10;AAAOAAAAAAAAAAAAAAAAACwCAABkcnMvZTJvRG9jLnhtbFBLAQItABQABgAIAAAAIQDLHvB21wAA&#10;AAUBAAAPAAAAAAAAAAAAAAAAADIEAABkcnMvZG93bnJldi54bWxQSwUGAAAAAAQABADzAAAANgUA&#10;AAAA&#10;">
                <o:lock v:ext="edit" selection="t"/>
              </v:shape>
            </w:pict>
          </mc:Fallback>
        </mc:AlternateContent>
      </w:r>
      <w:r>
        <w:rPr>
          <w:noProof/>
          <w:lang w:eastAsia="es-ES_tradnl"/>
        </w:rPr>
        <mc:AlternateContent>
          <mc:Choice Requires="wpg">
            <w:drawing>
              <wp:inline distT="0" distB="0" distL="0" distR="0" wp14:anchorId="1E58D637" wp14:editId="511EC4F6">
                <wp:extent cx="4883150" cy="3237865"/>
                <wp:effectExtent l="0" t="165100" r="6350" b="635"/>
                <wp:docPr id="2" name="1029"/>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Move="1" noResize="1"/>
                      </wpg:cNvGrpSpPr>
                      <wpg:grpSpPr bwMode="auto">
                        <a:xfrm>
                          <a:off x="0" y="0"/>
                          <a:ext cx="4883150" cy="3237865"/>
                          <a:chOff x="4572" y="6095"/>
                          <a:chExt cx="83058" cy="68313"/>
                        </a:xfrm>
                      </wpg:grpSpPr>
                      <wps:wsp>
                        <wps:cNvPr id="3" name="1030"/>
                        <wps:cNvSpPr txBox="1">
                          <a:spLocks noChangeArrowheads="1"/>
                        </wps:cNvSpPr>
                        <wps:spPr bwMode="auto">
                          <a:xfrm>
                            <a:off x="34293" y="8373"/>
                            <a:ext cx="27442" cy="129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D539772"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Resistencia a la insulina</w:t>
                              </w:r>
                            </w:p>
                          </w:txbxContent>
                        </wps:txbx>
                        <wps:bodyPr rot="0" vert="horz" wrap="square" lIns="91440" tIns="45720" rIns="91440" bIns="45720" anchor="t" anchorCtr="0" upright="1">
                          <a:noAutofit/>
                        </wps:bodyPr>
                      </wps:wsp>
                      <wps:wsp>
                        <wps:cNvPr id="4" name="1031"/>
                        <wps:cNvSpPr txBox="1">
                          <a:spLocks noChangeArrowheads="1"/>
                        </wps:cNvSpPr>
                        <wps:spPr bwMode="auto">
                          <a:xfrm>
                            <a:off x="7629" y="6095"/>
                            <a:ext cx="16754" cy="763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8E3DB72"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Adquirido</w:t>
                              </w:r>
                            </w:p>
                          </w:txbxContent>
                        </wps:txbx>
                        <wps:bodyPr rot="0" vert="horz" wrap="square" lIns="91440" tIns="45720" rIns="91440" bIns="45720" anchor="t" anchorCtr="0" upright="1">
                          <a:noAutofit/>
                        </wps:bodyPr>
                      </wps:wsp>
                      <wps:wsp>
                        <wps:cNvPr id="5" name="1032"/>
                        <wps:cNvSpPr txBox="1">
                          <a:spLocks noChangeArrowheads="1"/>
                        </wps:cNvSpPr>
                        <wps:spPr bwMode="auto">
                          <a:xfrm>
                            <a:off x="4572" y="12897"/>
                            <a:ext cx="27442" cy="1819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F11D4C4"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Alimentación, tabaco, alcohol, sedentarismo</w:t>
                              </w:r>
                            </w:p>
                          </w:txbxContent>
                        </wps:txbx>
                        <wps:bodyPr rot="0" vert="horz" wrap="square" lIns="91440" tIns="45720" rIns="91440" bIns="45720" anchor="t" anchorCtr="0" upright="1">
                          <a:noAutofit/>
                        </wps:bodyPr>
                      </wps:wsp>
                      <wps:wsp>
                        <wps:cNvPr id="6" name="1033"/>
                        <wps:cNvSpPr txBox="1">
                          <a:spLocks noChangeArrowheads="1"/>
                        </wps:cNvSpPr>
                        <wps:spPr bwMode="auto">
                          <a:xfrm>
                            <a:off x="67819" y="6095"/>
                            <a:ext cx="16754" cy="763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B94BBAF"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Genético</w:t>
                              </w:r>
                            </w:p>
                          </w:txbxContent>
                        </wps:txbx>
                        <wps:bodyPr rot="0" vert="horz" wrap="square" lIns="91440" tIns="45720" rIns="91440" bIns="45720" anchor="t" anchorCtr="0" upright="1">
                          <a:noAutofit/>
                        </wps:bodyPr>
                      </wps:wsp>
                      <wps:wsp>
                        <wps:cNvPr id="7" name="1034"/>
                        <wps:cNvSpPr txBox="1">
                          <a:spLocks noChangeArrowheads="1"/>
                        </wps:cNvSpPr>
                        <wps:spPr bwMode="auto">
                          <a:xfrm>
                            <a:off x="34283" y="18748"/>
                            <a:ext cx="27433" cy="1819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BBD9ECE"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 xml:space="preserve">Disminución de su acción sobre diferentes órganos </w:t>
                              </w:r>
                            </w:p>
                          </w:txbxContent>
                        </wps:txbx>
                        <wps:bodyPr rot="0" vert="horz" wrap="square" lIns="91440" tIns="45720" rIns="91440" bIns="45720" anchor="t" anchorCtr="0" upright="1">
                          <a:noAutofit/>
                        </wps:bodyPr>
                      </wps:wsp>
                      <wps:wsp>
                        <wps:cNvPr id="8" name="1035"/>
                        <wps:cNvSpPr txBox="1">
                          <a:spLocks noChangeArrowheads="1"/>
                        </wps:cNvSpPr>
                        <wps:spPr bwMode="auto">
                          <a:xfrm>
                            <a:off x="67819" y="15814"/>
                            <a:ext cx="19811" cy="23471"/>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10D4B6E"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Hígado</w:t>
                              </w:r>
                            </w:p>
                            <w:p w14:paraId="06139A80"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Tejido adiposo</w:t>
                              </w:r>
                            </w:p>
                            <w:p w14:paraId="391AC451"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Músculo esquelético</w:t>
                              </w:r>
                            </w:p>
                          </w:txbxContent>
                        </wps:txbx>
                        <wps:bodyPr rot="0" vert="horz" wrap="square" lIns="91440" tIns="45720" rIns="91440" bIns="45720" anchor="t" anchorCtr="0" upright="1">
                          <a:noAutofit/>
                        </wps:bodyPr>
                      </wps:wsp>
                      <wps:wsp>
                        <wps:cNvPr id="9" name="1036"/>
                        <wps:cNvSpPr txBox="1">
                          <a:spLocks noChangeArrowheads="1"/>
                        </wps:cNvSpPr>
                        <wps:spPr bwMode="auto">
                          <a:xfrm>
                            <a:off x="37344" y="31055"/>
                            <a:ext cx="24383" cy="1347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C6E1B03"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Hiperinsulinemia reactiva e hiperglicemia</w:t>
                              </w:r>
                            </w:p>
                          </w:txbxContent>
                        </wps:txbx>
                        <wps:bodyPr rot="0" vert="horz" wrap="square" lIns="91440" tIns="45720" rIns="91440" bIns="45720" anchor="t" anchorCtr="0" upright="1">
                          <a:noAutofit/>
                        </wps:bodyPr>
                      </wps:wsp>
                      <wps:wsp>
                        <wps:cNvPr id="10" name="1037"/>
                        <wps:cNvSpPr txBox="1">
                          <a:spLocks noChangeArrowheads="1"/>
                        </wps:cNvSpPr>
                        <wps:spPr bwMode="auto">
                          <a:xfrm>
                            <a:off x="6091" y="30287"/>
                            <a:ext cx="25923" cy="1819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D751FC2"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Aumento ácidos grasos libres circulantes</w:t>
                              </w:r>
                            </w:p>
                          </w:txbxContent>
                        </wps:txbx>
                        <wps:bodyPr rot="0" vert="horz" wrap="square" lIns="91440" tIns="45720" rIns="91440" bIns="45720" anchor="t" anchorCtr="0" upright="1">
                          <a:noAutofit/>
                        </wps:bodyPr>
                      </wps:wsp>
                      <wps:wsp>
                        <wps:cNvPr id="11" name="1038"/>
                        <wps:cNvSpPr txBox="1">
                          <a:spLocks noChangeArrowheads="1"/>
                        </wps:cNvSpPr>
                        <wps:spPr bwMode="auto">
                          <a:xfrm>
                            <a:off x="11435" y="40383"/>
                            <a:ext cx="16754" cy="129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6E46545"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Aterogénesis</w:t>
                              </w:r>
                            </w:p>
                          </w:txbxContent>
                        </wps:txbx>
                        <wps:bodyPr rot="0" vert="horz" wrap="square" lIns="91440" tIns="45720" rIns="91440" bIns="45720" anchor="t" anchorCtr="0" upright="1">
                          <a:noAutofit/>
                        </wps:bodyPr>
                      </wps:wsp>
                      <wps:wsp>
                        <wps:cNvPr id="12" name="1039"/>
                        <wps:cNvSpPr txBox="1">
                          <a:spLocks noChangeArrowheads="1"/>
                        </wps:cNvSpPr>
                        <wps:spPr bwMode="auto">
                          <a:xfrm>
                            <a:off x="67819" y="31057"/>
                            <a:ext cx="19811" cy="13571"/>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5784047" w14:textId="77777777" w:rsidR="005B0592" w:rsidRDefault="00ED290B">
                              <w:pPr>
                                <w:pStyle w:val="NormalWeb"/>
                                <w:spacing w:before="0" w:beforeAutospacing="0" w:after="0" w:afterAutospacing="0"/>
                                <w:jc w:val="center"/>
                                <w:rPr>
                                  <w:sz w:val="18"/>
                                  <w:szCs w:val="18"/>
                                </w:rPr>
                              </w:pPr>
                              <w:r>
                                <w:rPr>
                                  <w:rFonts w:asciiTheme="minorHAnsi" w:hAnsi="Calibri" w:cstheme="minorBidi"/>
                                  <w:color w:val="000000"/>
                                  <w:kern w:val="24"/>
                                  <w:sz w:val="18"/>
                                  <w:szCs w:val="18"/>
                                  <w:lang w:val="es-ES_tradnl"/>
                                </w:rPr>
                                <w:t>Gluconeogénesis</w:t>
                              </w:r>
                            </w:p>
                          </w:txbxContent>
                        </wps:txbx>
                        <wps:bodyPr rot="0" vert="horz" wrap="square" lIns="91440" tIns="45720" rIns="91440" bIns="45720" anchor="t" anchorCtr="0" upright="1">
                          <a:noAutofit/>
                        </wps:bodyPr>
                      </wps:wsp>
                      <wps:wsp>
                        <wps:cNvPr id="13" name="1041"/>
                        <wps:cNvCnPr/>
                        <wps:spPr bwMode="auto">
                          <a:xfrm rot="16200000" flipH="1">
                            <a:off x="44526" y="15262"/>
                            <a:ext cx="6974" cy="0"/>
                          </a:xfrm>
                          <a:prstGeom prst="straightConnector1">
                            <a:avLst/>
                          </a:prstGeom>
                          <a:noFill/>
                          <a:ln w="25400">
                            <a:solidFill>
                              <a:srgbClr val="000000"/>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14" name="1042"/>
                        <wps:cNvCnPr/>
                        <wps:spPr bwMode="auto">
                          <a:xfrm rot="16200000" flipH="1">
                            <a:off x="45866" y="28144"/>
                            <a:ext cx="4279" cy="15"/>
                          </a:xfrm>
                          <a:prstGeom prst="straightConnector1">
                            <a:avLst/>
                          </a:prstGeom>
                          <a:noFill/>
                          <a:ln w="25400">
                            <a:solidFill>
                              <a:srgbClr val="000000"/>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15" name="1043"/>
                        <wps:cNvCnPr/>
                        <wps:spPr bwMode="auto">
                          <a:xfrm rot="5400000">
                            <a:off x="15051" y="11166"/>
                            <a:ext cx="3472" cy="16"/>
                          </a:xfrm>
                          <a:prstGeom prst="straightConnector1">
                            <a:avLst/>
                          </a:prstGeom>
                          <a:noFill/>
                          <a:ln w="25400">
                            <a:solidFill>
                              <a:srgbClr val="000000"/>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16" name="1045"/>
                        <wps:cNvCnPr>
                          <a:cxnSpLocks noChangeShapeType="1"/>
                        </wps:cNvCnPr>
                        <wps:spPr bwMode="auto">
                          <a:xfrm flipV="1">
                            <a:off x="59436" y="8382"/>
                            <a:ext cx="11430" cy="3385"/>
                          </a:xfrm>
                          <a:prstGeom prst="bentConnector3">
                            <a:avLst>
                              <a:gd name="adj1" fmla="val 50000"/>
                            </a:avLst>
                          </a:prstGeom>
                          <a:noFill/>
                          <a:ln w="25400">
                            <a:solidFill>
                              <a:srgbClr val="000000"/>
                            </a:solidFill>
                            <a:miter lim="800000"/>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17" name="1046"/>
                        <wps:cNvCnPr>
                          <a:cxnSpLocks noChangeShapeType="1"/>
                        </wps:cNvCnPr>
                        <wps:spPr bwMode="auto">
                          <a:xfrm rot="10800000">
                            <a:off x="21717" y="7788"/>
                            <a:ext cx="12954" cy="3386"/>
                          </a:xfrm>
                          <a:prstGeom prst="bentConnector3">
                            <a:avLst>
                              <a:gd name="adj1" fmla="val 50000"/>
                            </a:avLst>
                          </a:prstGeom>
                          <a:noFill/>
                          <a:ln w="25400">
                            <a:solidFill>
                              <a:srgbClr val="000000"/>
                            </a:solidFill>
                            <a:miter lim="800000"/>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18" name="1047"/>
                        <wps:cNvCnPr/>
                        <wps:spPr bwMode="auto">
                          <a:xfrm flipV="1">
                            <a:off x="61714" y="21428"/>
                            <a:ext cx="6104" cy="0"/>
                          </a:xfrm>
                          <a:prstGeom prst="straightConnector1">
                            <a:avLst/>
                          </a:prstGeom>
                          <a:noFill/>
                          <a:ln w="25400">
                            <a:solidFill>
                              <a:srgbClr val="000000"/>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19" name="1048"/>
                        <wps:cNvCnPr/>
                        <wps:spPr bwMode="auto">
                          <a:xfrm rot="16200000" flipH="1">
                            <a:off x="75492" y="28828"/>
                            <a:ext cx="4463" cy="1"/>
                          </a:xfrm>
                          <a:prstGeom prst="straightConnector1">
                            <a:avLst/>
                          </a:prstGeom>
                          <a:noFill/>
                          <a:ln w="25400">
                            <a:solidFill>
                              <a:srgbClr val="000000"/>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20" name="1049"/>
                        <wps:cNvCnPr>
                          <a:cxnSpLocks noChangeShapeType="1"/>
                        </wps:cNvCnPr>
                        <wps:spPr bwMode="auto">
                          <a:xfrm rot="5400000">
                            <a:off x="23762" y="22050"/>
                            <a:ext cx="8863" cy="7620"/>
                          </a:xfrm>
                          <a:prstGeom prst="bentConnector3">
                            <a:avLst>
                              <a:gd name="adj1" fmla="val 50000"/>
                            </a:avLst>
                          </a:prstGeom>
                          <a:noFill/>
                          <a:ln w="25400">
                            <a:solidFill>
                              <a:srgbClr val="000000"/>
                            </a:solidFill>
                            <a:miter lim="800000"/>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21" name="1050"/>
                        <wps:cNvCnPr/>
                        <wps:spPr bwMode="auto">
                          <a:xfrm>
                            <a:off x="32004" y="21428"/>
                            <a:ext cx="2667" cy="16"/>
                          </a:xfrm>
                          <a:prstGeom prst="line">
                            <a:avLst/>
                          </a:prstGeom>
                          <a:noFill/>
                          <a:ln w="254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22" name="1051"/>
                        <wps:cNvCnPr/>
                        <wps:spPr bwMode="auto">
                          <a:xfrm rot="16200000" flipH="1">
                            <a:off x="17086" y="38423"/>
                            <a:ext cx="3927" cy="0"/>
                          </a:xfrm>
                          <a:prstGeom prst="straightConnector1">
                            <a:avLst/>
                          </a:prstGeom>
                          <a:noFill/>
                          <a:ln w="25400">
                            <a:solidFill>
                              <a:srgbClr val="000000"/>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23" name="1052"/>
                        <wps:cNvSpPr txBox="1">
                          <a:spLocks noChangeArrowheads="1"/>
                        </wps:cNvSpPr>
                        <wps:spPr bwMode="auto">
                          <a:xfrm>
                            <a:off x="31236" y="40383"/>
                            <a:ext cx="38093" cy="340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C73A03F"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 xml:space="preserve">Defectos coagulación, reactividad vascular, respuesta inflamatoria, alteraciones en el metabolismo de glucosa y ácidos grasos.  </w:t>
                              </w:r>
                            </w:p>
                          </w:txbxContent>
                        </wps:txbx>
                        <wps:bodyPr rot="0" vert="horz" wrap="square" lIns="91440" tIns="45720" rIns="91440" bIns="45720" anchor="t" anchorCtr="0" upright="1">
                          <a:noAutofit/>
                        </wps:bodyPr>
                      </wps:wsp>
                      <wps:wsp>
                        <wps:cNvPr id="24" name="1053"/>
                        <wps:cNvCnPr/>
                        <wps:spPr bwMode="auto">
                          <a:xfrm rot="16200000" flipH="1">
                            <a:off x="46282" y="38654"/>
                            <a:ext cx="3432" cy="31"/>
                          </a:xfrm>
                          <a:prstGeom prst="straightConnector1">
                            <a:avLst/>
                          </a:prstGeom>
                          <a:noFill/>
                          <a:ln w="25400">
                            <a:solidFill>
                              <a:srgbClr val="000000"/>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id="1029" o:spid="_x0000_s1028" style="width:384.5pt;height:254.95pt;mso-position-horizontal-relative:char;mso-position-vertical-relative:line" coordorigin="4572,6095" coordsize="83058,6831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7uaYcIAADIVgAADgAAAGRycy9lMm9Eb2MueG1s7Fxdc5tGFH3vTP8Dw7sidlm+NFE6iW2lnUnb&#10;TNOPZyyQRIuAAracdvrfe+4uoJVi2Ukc03Fn/eAB8bV74Z579t6z+/ybm21uXad1k5XF3GbPHNtK&#10;i2WZZMV6bv/y82IS2lbTxkUS52WRzu33aWN/8+Lrr57vqlnKy02ZJ2lt4SZFM9tVc3vTttVsOm2W&#10;m3QbN8/KKi1wcFXW27jFbr2eJnW8w923+ZQ7jj/dlXVS1eUybRr8eq4O2i/k/VerdNn+uFo1aWvl&#10;cxtta+X/Wv6/pP/TF8/j2bqOq0227JoRf0YrtnFW4KHDrc7jNrau6uyDW22zZV025ap9tiy303K1&#10;ypap7AN6w5yj3ryuy6tK9mU9262rwUww7ZGdPvu2yx+u39ZWlsxtbltFvMUrYg6PyC67aj3D4dd1&#10;9a56W6vOYfNNufyjsYry+/KaTsZV5U9pk/0ld3DZ9Pg62l+rm1iXu+/LBGfGV20p7XWzqrd0a1jC&#10;upGv5f3wWtKb1lriRxGGLvPw9pY45nI3CH1PvbjlBm+XrhNegPbjsO9Ew7GL7vrQdTx8hnS1jzu5&#10;dO00nqlHy+Z2zaM+4zNs9pZuHmbpd5u4SuULbMiUnaXdvaVd+QXSU3GYzGy1N69KdIhJ6zSDtc82&#10;cbFOX9Z1udukcYJ2MdkN7VLV+oZucp+ZXcEjtAIGCd1A2iOe9dbmgRCwJVmL8YhJaw7WimdV3bSv&#10;03Jr0cbcruFhsqnx9ZumVYbtT6H3WpSLLM/xezzLi4MfcE/1Cx6MS+kYNUE6zd+RE12EF6GYCO5f&#10;TISTJJOXizMx8Rcs8M7d87Ozc/YPPZeJ2SZLkrSgx/QOzMTHvbYOSpTrDS7clHmW0O2oSU29vjzL&#10;a+s6BoAs5F/3+WinTQ+bIb8u9OWoS4wL5xWPJgs/DCZiJbxJFDjhxGHRq8h3RCTOF4ddepMV6cO7&#10;ZO3mduRxT31QJ/vmyL8P+xbPtlkLiM6zLb6W4aR4Rp/hRZHIV9vGWa62NVNQ8/emwOvuXzRcrpnR&#10;d6q+2Pbm8qZDINyMjl2WyXt8xXWJDwxuj/CCjU1Z/2VbO0D13G7+vIrr1Lby7wp4QsSEIGyXO4QE&#10;2Kn1I5f6kbhY4lZzu7UttXnWqnhwVdXZeoMnKd8rypcAqVUmP+p9qyTASZAYCS2EhhbS5zWXHwct&#10;Ah8B4RBcyVMJmpkfeGgggUXgu+EBshqsWCw+9CfNQRTGKMcwWPFpWCGD1t4rDVZIBPU0rOD07Y2O&#10;FQMRYzyMAmrC7cwiZCAgOGqYhWEWj88sRO8Lhllo4xBfQ4sBT0cdh/gBcMBQC5W0MMMQytEMIwxE&#10;Bm2INeIwRI54DbXouUOXtAg0sBjgdFSwQNIiVEkLFgZCjjUOuIWLgzJrYbiFyVqMl7XwDbe4JceJ&#10;fGufTXYHQB0VLvbcgnkhk5C1hwsWhQypa4IL7opA5VL7lLBJXJjERVcZ+vJJTjkmNuziiF1gEDDA&#10;xQCoo8IF6iACmUwAgsscr6sh9WlOLlyiHpJdAC5kC03mwmQuHj9zIWmugYsjuGCo8Ax4MSDqqHiB&#10;QjMIBMGFw8PjRKcX8R4uMBiRmVgDFwYuHh8uOuGGKaEqRUWXuyCqP8DFgKijwgVjAuMgwgvhEJc4&#10;KIxoVVQjuTCSixFznQikXZXQVEa0ygjTxHDugKmjAsY+fUHjkSOCoaUvmOuZ9IXRaI2l0UIoNYDx&#10;oaQTotKBYYjBRACMs+Jt3RnstDJTqVeYD0Ez/mxrlWfVt70OrVPGCuFxFGxBIBg25JBin870o6BT&#10;YUk8Pz3WaNo6JpHbWVkUUG6WtdK6fYx4k3SE3BNon9RFfoaQEGrmTi94S1rNat9XJAwmhStkfnN7&#10;myYQ+KVQldMWbIhedYJRqevuNKPlFdSJ7zbJzrrMr+qf4gQiX9cjKyYZCVSlTWkHIj9qvTQwlIW/&#10;Ze1GynNJYih7pCs95Xnq9zivNrHSf7pBFMlogKZ0JRbZrKENci/Vm9drHtW7+u/FrYMe96QODX3r&#10;G30k1FQUgd4EJSQgkx5JAYnk/d65dFnTl3MuL/SVc3GUCo5qBYIHSE/K3N89YmjjXca7lNr9KXmX&#10;JhoUugzoE7yrB1bC0S5eYcKGpxJkjDE4F2BjH6+QQ++nGNyTSzcuZVzq6bmUpqwTevWbXIr8YHlT&#10;7CdSqak9kov8LDmQqkZTjO0IpIqzd/BHIoy/HhFGLxKuimmhGx7xRcpGgSFRTHPd8J6odpkWe77o&#10;Sq4k+SJ1ZJ10kTlOfoe3r7Y5Zs8h0WuBgYGDKdbWnQ1icXJm0MPJ5cfPUjFMc5RpVE+SaWoqN6HX&#10;oR/LceUUJ+Z086q08MlZwNAYOGgQhEdaN+SI+0k38N57AqjxXjW3cBijmXHi4eTj2ydBPknv1URn&#10;Qq8KfxyTvS2I+nBDpQrhDPLTQxbrM8dkXUzW5WAq///ImzRNllJba4wUxI727qCkKrLdmdLE1FFo&#10;IyjG8TA8di4h/F5C0dHIfqmAnkR2M9DNCNGMEJ/cCJGmqPeKBKEXGB+VaN6SpsFqGigmSB/kDtbY&#10;OEjThGHvgzipH82dcEPDMw3P7FftuXU1mv9PZOSanEi5zKdERm2Q56I4dZJdct/HAFCWHe4Z4uVY&#10;aGOfllE5lz5I0tMGLk8FtIdnWu4s46mnmzrdDEvCPGQRmuGdPaFKAtdUM8j9dxzxSxbBGRbMUTlN&#10;NxSQ2B5EKzfincPcE6oMYzSM8ekxRk1h4ulF8HfjrRrGeFdRuEXD6oYOLSkmSwrCwXJTKhKcYItm&#10;2TCsLnYS2g/EImbZsG59uCM1yrBsGMSaXagxGlZNw8o11Yz3mXV9dmf+RvgchUUaO6IKgYrEYTQW&#10;Lo5JOFD1zJOza004NuH4S4Zj4IRcLlWK8bqlXWk9Vn1fatj2C9C++BcAAP//AwBQSwMEFAAGAAgA&#10;AAAhAKBpQzTcAAAABQEAAA8AAABkcnMvZG93bnJldi54bWxMj0FLw0AQhe+C/2EZwZvdRGk1MZtS&#10;inoqQltBvE2TaRKanQ3ZbZL+e0cvennweMN732TLybZqoN43jg3EswgUceHKhisDH/vXuydQPiCX&#10;2DomAxfysMyvrzJMSzfyloZdqJSUsE/RQB1Cl2rti5os+pnriCU7ut5iENtXuuxxlHLb6vsoWmiL&#10;DctCjR2taypOu7M18DbiuHqIX4bN6bi+fO3n75+bmIy5vZlWz6ACTeHvGH7wBR1yYTq4M5detQbk&#10;kfCrkj0uErEHA/MoSUDnmf5Pn38DAAD//wMAUEsBAi0AFAAGAAgAAAAhAOSZw8D7AAAA4QEAABMA&#10;AAAAAAAAAAAAAAAAAAAAAFtDb250ZW50X1R5cGVzXS54bWxQSwECLQAUAAYACAAAACEAI7Jq4dcA&#10;AACUAQAACwAAAAAAAAAAAAAAAAAsAQAAX3JlbHMvLnJlbHNQSwECLQAUAAYACAAAACEAOB7uaYcI&#10;AADIVgAADgAAAAAAAAAAAAAAAAAsAgAAZHJzL2Uyb0RvYy54bWxQSwECLQAUAAYACAAAACEAoGlD&#10;NNwAAAAFAQAADwAAAAAAAAAAAAAAAADfCgAAZHJzL2Rvd25yZXYueG1sUEsFBgAAAAAEAAQA8wAA&#10;AOgLAAAAAA==&#10;">
                <o:lock v:ext="edit" position="t"/>
                <v:shape id="1030" o:spid="_x0000_s1029" type="#_x0000_t202" style="position:absolute;left:34293;top:8373;width:27442;height:129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3wizwwAA&#10;ANoAAAAPAAAAZHJzL2Rvd25yZXYueG1sRI9Ba8JAFITvBf/D8oTedNfWlhqzkaIInixNW8HbI/tM&#10;gtm3Ibua9N93BaHHYWa+YdLVYBtxpc7XjjXMpgoEceFMzaWG76/t5A2ED8gGG8ek4Zc8rLLRQ4qJ&#10;cT1/0jUPpYgQ9glqqEJoEyl9UZFFP3UtcfROrrMYouxKaTrsI9w28kmpV2mx5rhQYUvriopzfrEa&#10;fvan42GuPsqNfWl7NyjJdiG1fhwP70sQgYbwH763d0bDM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3wizwwAAANoAAAAPAAAAAAAAAAAAAAAAAJcCAABkcnMvZG93&#10;bnJldi54bWxQSwUGAAAAAAQABAD1AAAAhwMAAAAA&#10;" filled="f" stroked="f">
                  <v:textbox>
                    <w:txbxContent>
                      <w:p w14:paraId="2D539772"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Resistencia a la insulina</w:t>
                        </w:r>
                      </w:p>
                    </w:txbxContent>
                  </v:textbox>
                </v:shape>
                <v:shape id="1031" o:spid="_x0000_s1030" type="#_x0000_t202" style="position:absolute;left:7629;top:6095;width:16754;height:76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pDHwQAA&#10;ANoAAAAPAAAAZHJzL2Rvd25yZXYueG1sRI9Pi8IwFMTvgt8hPMGbJoqKW40iirAnF//swt4ezbMt&#10;Ni+libb77TeC4HGYmd8wy3VrS/Gg2heONYyGCgRx6kzBmYbLeT+Yg/AB2WDpmDT8kYf1qttZYmJc&#10;w0d6nEImIoR9ghryEKpESp/mZNEPXUUcvaurLYYo60yaGpsIt6UcKzWTFguOCzlWtM0pvZ3uVsP3&#10;4fr7M1Ff2c5Oq8a1SrL9kFr3e+1mASJQG97hV/vTaJjA80q8AXL1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jaQx8EAAADaAAAADwAAAAAAAAAAAAAAAACXAgAAZHJzL2Rvd25y&#10;ZXYueG1sUEsFBgAAAAAEAAQA9QAAAIUDAAAAAA==&#10;" filled="f" stroked="f">
                  <v:textbox>
                    <w:txbxContent>
                      <w:p w14:paraId="58E3DB72"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Adquirido</w:t>
                        </w:r>
                      </w:p>
                    </w:txbxContent>
                  </v:textbox>
                </v:shape>
                <v:shape id="1032" o:spid="_x0000_s1031" type="#_x0000_t202" style="position:absolute;left:4572;top:12897;width:27442;height:1819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jVcwQAA&#10;ANoAAAAPAAAAZHJzL2Rvd25yZXYueG1sRI9Bi8IwFITvC/6H8ARva6Lo4lajiCJ4Ulbdhb09mmdb&#10;bF5KE23990YQPA4z8w0zW7S2FDeqfeFYw6CvQBCnzhScaTgdN58TED4gGywdk4Y7eVjMOx8zTIxr&#10;+Iduh5CJCGGfoIY8hCqR0qc5WfR9VxFH7+xqiyHKOpOmxibCbSmHSn1JiwXHhRwrWuWUXg5Xq+F3&#10;d/7/G6l9trbjqnGtkmy/pda9brucggjUhnf41d4aDW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o1XMEAAADaAAAADwAAAAAAAAAAAAAAAACXAgAAZHJzL2Rvd25y&#10;ZXYueG1sUEsFBgAAAAAEAAQA9QAAAIUDAAAAAA==&#10;" filled="f" stroked="f">
                  <v:textbox>
                    <w:txbxContent>
                      <w:p w14:paraId="4F11D4C4"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Alimentación, tabaco, alcohol, sedentarismo</w:t>
                        </w:r>
                      </w:p>
                    </w:txbxContent>
                  </v:textbox>
                </v:shape>
                <v:shape id="1033" o:spid="_x0000_s1032" type="#_x0000_t202" style="position:absolute;left:67819;top:6095;width:16754;height:76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14:paraId="2B94BBAF"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Genético</w:t>
                        </w:r>
                      </w:p>
                    </w:txbxContent>
                  </v:textbox>
                </v:shape>
                <v:shape id="1034" o:spid="_x0000_s1033" type="#_x0000_t202" style="position:absolute;left:34283;top:18748;width:27433;height:1819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5A6wwwAA&#10;ANoAAAAPAAAAZHJzL2Rvd25yZXYueG1sRI9Ba8JAFITvBf/D8oTedNdS2xqzkaIInixNW8HbI/tM&#10;gtm3Ibua9N93BaHHYWa+YdLVYBtxpc7XjjXMpgoEceFMzaWG76/t5A2ED8gGG8ek4Zc8rLLRQ4qJ&#10;cT1/0jUPpYgQ9glqqEJoEyl9UZFFP3UtcfROrrMYouxKaTrsI9w28kmpF2mx5rhQYUvriopzfrEa&#10;fvan4+FZfZQbO297NyjJdiG1fhwP70sQgYbwH763d0bDK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5A6wwwAAANoAAAAPAAAAAAAAAAAAAAAAAJcCAABkcnMvZG93&#10;bnJldi54bWxQSwUGAAAAAAQABAD1AAAAhwMAAAAA&#10;" filled="f" stroked="f">
                  <v:textbox>
                    <w:txbxContent>
                      <w:p w14:paraId="4BBD9ECE"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 xml:space="preserve">Disminución de su acción sobre diferentes órganos </w:t>
                        </w:r>
                      </w:p>
                    </w:txbxContent>
                  </v:textbox>
                </v:shape>
                <v:shape id="1035" o:spid="_x0000_s1034" type="#_x0000_t202" style="position:absolute;left:67819;top:15814;width:19811;height:2347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e5rCvgAA&#10;ANoAAAAPAAAAZHJzL2Rvd25yZXYueG1sRE/LisIwFN0L/kO4gjtNHBzRahRxEFzNYH2Au0tzbYvN&#10;TWmirX8/WQzM8nDeq01nK/GixpeONUzGCgRx5kzJuYbzaT+ag/AB2WDlmDS8ycNm3e+tMDGu5SO9&#10;0pCLGMI+QQ1FCHUipc8KsujHriaO3N01FkOETS5Ng20Mt5X8UGomLZYcGwqsaVdQ9kifVsPl+367&#10;TtVP/mU/69Z1SrJdSK2Hg267BBGoC//iP/fBaIhb45V4A+T6FwAA//8DAFBLAQItABQABgAIAAAA&#10;IQAyPL0++wAAAOIBAAATAAAAAAAAAAAAAAAAAAAAAABbQ29udGVudF9UeXBlc10ueG1sUEsBAi0A&#10;FAAGAAgAAAAhAKqLXQ3TAAAAjwEAAAsAAAAAAAAAAAAAAAAALAEAAF9yZWxzLy5yZWxzUEsBAi0A&#10;FAAGAAgAAAAhADMvBZ5BAAAAOQAAABAAAAAAAAAAAAAAAAAAKAIAAGRycy9zaGFwZXhtbC54bWxQ&#10;SwECLQAUAAYACAAAACEAW3uawr4AAADaAAAADwAAAAAAAAAAAAAAAACXAgAAZHJzL2Rvd25yZXYu&#10;eG1sUEsFBgAAAAAEAAQA9QAAAIIDAAAAAA==&#10;" filled="f" stroked="f">
                  <v:textbox>
                    <w:txbxContent>
                      <w:p w14:paraId="510D4B6E"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Hígado</w:t>
                        </w:r>
                      </w:p>
                      <w:p w14:paraId="06139A80"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Tejido adiposo</w:t>
                        </w:r>
                      </w:p>
                      <w:p w14:paraId="391AC451"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Músculo esquelético</w:t>
                        </w:r>
                      </w:p>
                    </w:txbxContent>
                  </v:textbox>
                </v:shape>
                <v:shape id="1036" o:spid="_x0000_s1035" type="#_x0000_t202" style="position:absolute;left:37344;top:31055;width:24383;height:134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Nz9ZwwAA&#10;ANoAAAAPAAAAZHJzL2Rvd25yZXYueG1sRI9Ba8JAFITvQv/D8grezG7FShPdhFIRPLVoq+DtkX0m&#10;odm3Ibua+O+7hUKPw8x8w6yL0bbiRr1vHGt4ShQI4tKZhisNX5/b2QsIH5ANto5Jw508FPnDZI2Z&#10;cQPv6XYIlYgQ9hlqqEPoMil9WZNFn7iOOHoX11sMUfaVND0OEW5bOVdqKS02HBdq7OitpvL7cLUa&#10;ju+X82mhPqqNfe4GNyrJNpVaTx/H1xWIQGP4D/+1d0ZDCr9X4g2Q+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Nz9ZwwAAANoAAAAPAAAAAAAAAAAAAAAAAJcCAABkcnMvZG93&#10;bnJldi54bWxQSwUGAAAAAAQABAD1AAAAhwMAAAAA&#10;" filled="f" stroked="f">
                  <v:textbox>
                    <w:txbxContent>
                      <w:p w14:paraId="7C6E1B03" w14:textId="77777777" w:rsidR="005B0592" w:rsidRDefault="00ED290B">
                        <w:pPr>
                          <w:pStyle w:val="NormalWeb"/>
                          <w:spacing w:before="0" w:beforeAutospacing="0" w:after="0" w:afterAutospacing="0"/>
                          <w:jc w:val="center"/>
                          <w:rPr>
                            <w:sz w:val="18"/>
                            <w:szCs w:val="18"/>
                          </w:rPr>
                        </w:pPr>
                        <w:proofErr w:type="spellStart"/>
                        <w:r>
                          <w:rPr>
                            <w:rFonts w:ascii="Arial" w:hAnsi="Arial" w:cs="Arial"/>
                            <w:color w:val="000000"/>
                            <w:kern w:val="24"/>
                            <w:sz w:val="18"/>
                            <w:szCs w:val="18"/>
                            <w:lang w:val="es-ES_tradnl"/>
                          </w:rPr>
                          <w:t>Hiperinsulinemia</w:t>
                        </w:r>
                        <w:proofErr w:type="spellEnd"/>
                        <w:r>
                          <w:rPr>
                            <w:rFonts w:ascii="Arial" w:hAnsi="Arial" w:cs="Arial"/>
                            <w:color w:val="000000"/>
                            <w:kern w:val="24"/>
                            <w:sz w:val="18"/>
                            <w:szCs w:val="18"/>
                            <w:lang w:val="es-ES_tradnl"/>
                          </w:rPr>
                          <w:t xml:space="preserve"> reactiva e hiperglicemia</w:t>
                        </w:r>
                      </w:p>
                    </w:txbxContent>
                  </v:textbox>
                </v:shape>
                <v:shape id="1037" o:spid="_x0000_s1036" type="#_x0000_t202" style="position:absolute;left:6091;top:30287;width:25923;height:1819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14:paraId="0D751FC2"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Aumento ácidos grasos libres circulantes</w:t>
                        </w:r>
                      </w:p>
                    </w:txbxContent>
                  </v:textbox>
                </v:shape>
                <v:shape id="1038" o:spid="_x0000_s1037" type="#_x0000_t202" style="position:absolute;left:11435;top:40383;width:16754;height:129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HBiwAAA&#10;ANsAAAAPAAAAZHJzL2Rvd25yZXYueG1sRE9Li8IwEL4L/ocwgjdNFBW3GkUUwZOLj13Y29CMbbGZ&#10;lCba+u83Cwve5uN7znLd2lI8qfaFYw2joQJBnDpTcKbhetkP5iB8QDZYOiYNL/KwXnU7S0yMa/hE&#10;z3PIRAxhn6CGPIQqkdKnOVn0Q1cRR+7maoshwjqTpsYmhttSjpWaSYsFx4YcK9rmlN7PD6vh63j7&#10;+Z6oz2xnp1XjWiXZfkit+712swARqA1v8b/7YOL8Efz9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zHBiwAAAANsAAAAPAAAAAAAAAAAAAAAAAJcCAABkcnMvZG93bnJl&#10;di54bWxQSwUGAAAAAAQABAD1AAAAhAMAAAAA&#10;" filled="f" stroked="f">
                  <v:textbox>
                    <w:txbxContent>
                      <w:p w14:paraId="56E46545" w14:textId="77777777" w:rsidR="005B0592" w:rsidRDefault="00ED290B">
                        <w:pPr>
                          <w:pStyle w:val="NormalWeb"/>
                          <w:spacing w:before="0" w:beforeAutospacing="0" w:after="0" w:afterAutospacing="0"/>
                          <w:jc w:val="center"/>
                          <w:rPr>
                            <w:sz w:val="18"/>
                            <w:szCs w:val="18"/>
                          </w:rPr>
                        </w:pPr>
                        <w:proofErr w:type="spellStart"/>
                        <w:r>
                          <w:rPr>
                            <w:rFonts w:ascii="Arial" w:hAnsi="Arial" w:cs="Arial"/>
                            <w:color w:val="000000"/>
                            <w:kern w:val="24"/>
                            <w:sz w:val="18"/>
                            <w:szCs w:val="18"/>
                            <w:lang w:val="es-ES_tradnl"/>
                          </w:rPr>
                          <w:t>Aterogénesis</w:t>
                        </w:r>
                        <w:proofErr w:type="spellEnd"/>
                      </w:p>
                    </w:txbxContent>
                  </v:textbox>
                </v:shape>
                <v:shape id="1039" o:spid="_x0000_s1038" type="#_x0000_t202" style="position:absolute;left:67819;top:31057;width:19811;height:1357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14:paraId="15784047" w14:textId="77777777" w:rsidR="005B0592" w:rsidRDefault="00ED290B">
                        <w:pPr>
                          <w:pStyle w:val="NormalWeb"/>
                          <w:spacing w:before="0" w:beforeAutospacing="0" w:after="0" w:afterAutospacing="0"/>
                          <w:jc w:val="center"/>
                          <w:rPr>
                            <w:sz w:val="18"/>
                            <w:szCs w:val="18"/>
                          </w:rPr>
                        </w:pPr>
                        <w:r>
                          <w:rPr>
                            <w:rFonts w:asciiTheme="minorHAnsi" w:hAnsi="Calibri" w:cstheme="minorBidi"/>
                            <w:color w:val="000000"/>
                            <w:kern w:val="24"/>
                            <w:sz w:val="18"/>
                            <w:szCs w:val="18"/>
                            <w:lang w:val="es-ES_tradnl"/>
                          </w:rPr>
                          <w:t>Gluconeogénesis</w:t>
                        </w:r>
                      </w:p>
                    </w:txbxContent>
                  </v:textbox>
                </v:shape>
                <v:shapetype id="_x0000_t32" coordsize="21600,21600" o:spt="32" o:oned="t" path="m0,0l21600,21600e" filled="f">
                  <v:path arrowok="t" fillok="f" o:connecttype="none"/>
                  <o:lock v:ext="edit" shapetype="t"/>
                </v:shapetype>
                <v:shape id="1041" o:spid="_x0000_s1039" type="#_x0000_t32" style="position:absolute;left:44526;top:15262;width:6974;height:0;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Zzubb8AAADbAAAADwAAAGRycy9kb3ducmV2LnhtbERPTYvCMBC9C/sfwix4kTVVQaRrlGVB&#10;9KhW9Do0s23ZZlKa0dZ/bwTB2zze5yzXvavVjdpQeTYwGSegiHNvKy4MnLLN1wJUEGSLtWcycKcA&#10;69XHYImp9R0f6HaUQsUQDikaKEWaVOuQl+QwjH1DHLk/3zqUCNtC2xa7GO5qPU2SuXZYcWwosaHf&#10;kvL/49UZmJ+6vd1u5JyNLklWHHK73Y3EmOFn//MNSqiXt/jl3tk4fwbPX+IBevU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JZzubb8AAADbAAAADwAAAAAAAAAAAAAAAACh&#10;AgAAZHJzL2Rvd25yZXYueG1sUEsFBgAAAAAEAAQA+QAAAI0DAAAAAA==&#10;" strokeweight="2pt">
                  <v:stroke endarrow="open"/>
                  <v:shadow on="t" opacity="24903f" origin=",.5" offset="0,20000emu"/>
                </v:shape>
                <v:shape id="1042" o:spid="_x0000_s1040" type="#_x0000_t32" style="position:absolute;left:45866;top:28144;width:4279;height:15;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nV2Gb8AAADbAAAADwAAAGRycy9kb3ducmV2LnhtbERPTYvCMBC9C/sfwix4kTVVRKRrlGVB&#10;9KhW9Do0s23ZZlKa0dZ/bwTB2zze5yzXvavVjdpQeTYwGSegiHNvKy4MnLLN1wJUEGSLtWcycKcA&#10;69XHYImp9R0f6HaUQsUQDikaKEWaVOuQl+QwjH1DHLk/3zqUCNtC2xa7GO5qPU2SuXZYcWwosaHf&#10;kvL/49UZmJ+6vd1u5JyNLklWHHK73Y3EmOFn//MNSqiXt/jl3tk4fwbPX+IBevU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qnV2Gb8AAADbAAAADwAAAAAAAAAAAAAAAACh&#10;AgAAZHJzL2Rvd25yZXYueG1sUEsFBgAAAAAEAAQA+QAAAI0DAAAAAA==&#10;" strokeweight="2pt">
                  <v:stroke endarrow="open"/>
                  <v:shadow on="t" opacity="24903f" origin=",.5" offset="0,20000emu"/>
                </v:shape>
                <v:shape id="1043" o:spid="_x0000_s1041" type="#_x0000_t32" style="position:absolute;left:15051;top:11166;width:3472;height:16;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QpSZcIAAADbAAAADwAAAGRycy9kb3ducmV2LnhtbERPTWuDQBC9F/oflin0VtcWKsG6CZKQ&#10;1FuoKS3eBneiEndW3I2x/z5bCOQ2j/c52Wo2vZhodJ1lBa9RDIK4trrjRsH3YfuyAOE8ssbeMin4&#10;Iwer5eNDhqm2F/6iqfSNCCHsUlTQej+kUrq6JYMusgNx4I52NOgDHBupR7yEcNPLtzhOpMGOQ0OL&#10;A61bqk/l2SjYFHmeTE7vj7StfooFf2521a9Sz09z/gHC0+zv4pu70GH+O/z/Eg6Qyys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QpSZcIAAADbAAAADwAAAAAAAAAAAAAA&#10;AAChAgAAZHJzL2Rvd25yZXYueG1sUEsFBgAAAAAEAAQA+QAAAJADAAAAAA==&#10;" strokeweight="2pt">
                  <v:stroke endarrow="open"/>
                  <v:shadow on="t" opacity="24903f" origin=",.5" offset="0,20000emu"/>
                </v:shape>
                <v:shapetype id="_x0000_t34" coordsize="21600,21600" o:spt="34" o:oned="t" adj="10800" path="m0,0l@0,0@0,21600,21600,21600e" filled="f">
                  <v:stroke joinstyle="miter"/>
                  <v:formulas>
                    <v:f eqn="val #0"/>
                  </v:formulas>
                  <v:path arrowok="t" fillok="f" o:connecttype="none"/>
                  <v:handles>
                    <v:h position="#0,center"/>
                  </v:handles>
                  <o:lock v:ext="edit" shapetype="t"/>
                </v:shapetype>
                <v:shape id="1045" o:spid="_x0000_s1042" type="#_x0000_t34" style="position:absolute;left:59436;top:8382;width:11430;height:3385;flip:y;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68zMEAAADbAAAADwAAAGRycy9kb3ducmV2LnhtbERPTWvCQBC9F/wPywi9NZt4kBBdgy0t&#10;lF5sVHIesmMSzM6G3Y2m/94tFHqbx/ucbTmbQdzI+d6ygixJQRA3VvfcKjifPl5yED4gaxwsk4If&#10;8lDuFk9bLLS9c0W3Y2hFDGFfoIIuhLGQ0jcdGfSJHYkjd7HOYIjQtVI7vMdwM8hVmq6lwZ5jQ4cj&#10;vXXUXI+TUeAmqvs0y7++D6/vk62m2uJppdTzct5vQASaw7/4z/2p4/w1/P4SD5C7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LrzMwQAAANsAAAAPAAAAAAAAAAAAAAAA&#10;AKECAABkcnMvZG93bnJldi54bWxQSwUGAAAAAAQABAD5AAAAjwMAAAAA&#10;" strokeweight="2pt">
                  <v:stroke endarrow="open"/>
                  <v:shadow on="t" opacity="24903f" origin=",.5" offset="0,20000emu"/>
                </v:shape>
                <v:shape id="1046" o:spid="_x0000_s1043" type="#_x0000_t34" style="position:absolute;left:21717;top:7788;width:12954;height:3386;rotation:180;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jtQwsEAAADbAAAADwAAAGRycy9kb3ducmV2LnhtbERPS4vCMBC+C/sfwix403QVdKlGWWQF&#10;8eaD9To0k7baTLpNrNVfbxYWvM3H95z5srOVaKnxpWMFH8MEBHHmdMm5guNhPfgE4QOyxsoxKbiT&#10;h+XirTfHVLsb76jdh1zEEPYpKihCqFMpfVaQRT90NXHkjGsshgibXOoGbzHcVnKUJBNpseTYUGBN&#10;q4Kyy/5qFXgzLU34OY2/f9vHztT3dnteGaX6793XDESgLrzE/+6NjvOn8PdLPEAun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yO1DCwQAAANsAAAAPAAAAAAAAAAAAAAAA&#10;AKECAABkcnMvZG93bnJldi54bWxQSwUGAAAAAAQABAD5AAAAjwMAAAAA&#10;" strokeweight="2pt">
                  <v:stroke endarrow="open"/>
                  <v:shadow on="t" opacity="24903f" origin=",.5" offset="0,20000emu"/>
                </v:shape>
                <v:shape id="1047" o:spid="_x0000_s1044" type="#_x0000_t32" style="position:absolute;left:61714;top:21428;width:6104;height: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spUbsUAAADbAAAADwAAAGRycy9kb3ducmV2LnhtbESPzW7CQAyE70h9h5Ur9Qab9lChlAUh&#10;KqIcygH6I/XmZk0SkfWG7CaEt8cHpN5szXjm82I1ukYN1IXas4HnWQKKuPC25tLA1+d2OgcVIrLF&#10;xjMZuFKA1fJhssDU+gvvaTjEUkkIhxQNVDG2qdahqMhhmPmWWLSj7xxGWbtS2w4vEu4a/ZIkr9ph&#10;zdJQYUubiorToXcGju/jd0/1x/kv+8nt7+6EW5edjXl6HNdvoCKN8d98v86t4Aus/CID6OU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spUbsUAAADbAAAADwAAAAAAAAAA&#10;AAAAAAChAgAAZHJzL2Rvd25yZXYueG1sUEsFBgAAAAAEAAQA+QAAAJMDAAAAAA==&#10;" strokeweight="2pt">
                  <v:stroke endarrow="open"/>
                  <v:shadow on="t" opacity="24903f" origin=",.5" offset="0,20000emu"/>
                </v:shape>
                <v:shape id="1048" o:spid="_x0000_s1045" type="#_x0000_t32" style="position:absolute;left:75492;top:28828;width:4463;height:1;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HTZh78AAADbAAAADwAAAGRycy9kb3ducmV2LnhtbERPTYvCMBC9C/6HMIIX0XQ9iFajiCB6&#10;XK3odWjGtthMSjNru/9+s7Cwt3m8z9nselerN7Wh8mzgY5aAIs69rbgwcMuO0yWoIMgWa89k4JsC&#10;7LbDwQZT6zu+0PsqhYohHFI0UIo0qdYhL8lhmPmGOHJP3zqUCNtC2xa7GO5qPU+ShXZYcWwosaFD&#10;Sfnr+uUMLG7dpz0d5Z5NHklWXHJ7Ok/EmPGo369BCfXyL/5zn22cv4LfX+IBevs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RHTZh78AAADbAAAADwAAAAAAAAAAAAAAAACh&#10;AgAAZHJzL2Rvd25yZXYueG1sUEsFBgAAAAAEAAQA+QAAAI0DAAAAAA==&#10;" strokeweight="2pt">
                  <v:stroke endarrow="open"/>
                  <v:shadow on="t" opacity="24903f" origin=",.5" offset="0,20000emu"/>
                </v:shape>
                <v:shape id="1049" o:spid="_x0000_s1046" type="#_x0000_t34" style="position:absolute;left:23762;top:22050;width:8863;height:7620;rotation:90;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PlpScEAAADbAAAADwAAAGRycy9kb3ducmV2LnhtbERPy2oCMRTdF/yHcAU3RTNafDA1iviA&#10;4s4nXV4mt5Opk5swiTr9+2ZR6PJw3vNla2vxoCZUjhUMBxkI4sLpiksF59OuPwMRIrLG2jEp+KEA&#10;y0XnZY65dk8+0OMYS5FCOOSowMTocylDYchiGDhPnLgv11iMCTal1A0+U7it5SjLJtJixanBoKe1&#10;oeJ2vFsFvr1uivHq+jb93prphU7710+PSvW67eodRKQ2/ov/3B9awSitT1/SD5CL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g+WlJwQAAANsAAAAPAAAAAAAAAAAAAAAA&#10;AKECAABkcnMvZG93bnJldi54bWxQSwUGAAAAAAQABAD5AAAAjwMAAAAA&#10;" strokeweight="2pt">
                  <v:stroke endarrow="open"/>
                  <v:shadow on="t" opacity="24903f" origin=",.5" offset="0,20000emu"/>
                </v:shape>
                <v:line id="1050" o:spid="_x0000_s1047" style="position:absolute;visibility:visible;mso-wrap-style:square" from="32004,21428" to="34671,214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XzwHsIAAADbAAAADwAAAGRycy9kb3ducmV2LnhtbESPQWvCQBSE7wX/w/KE3upGoVJiNlIq&#10;gpceGhU8PrLPbHT3bciuJv33XUHocZiZb5hiPTor7tSH1rOC+SwDQVx73XKj4LDfvn2ACBFZo/VM&#10;Cn4pwLqcvBSYaz/wD92r2IgE4ZCjAhNjl0sZakMOw8x3xMk7+95hTLJvpO5xSHBn5SLLltJhy2nB&#10;YEdfhuprdXMK3i/2tKTw3Zmj1htpN9tTa6xSr9PxcwUi0hj/w8/2TitYzOHxJf0AWf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XzwHsIAAADbAAAADwAAAAAAAAAAAAAA&#10;AAChAgAAZHJzL2Rvd25yZXYueG1sUEsFBgAAAAAEAAQA+QAAAJADAAAAAA==&#10;" strokeweight="2pt">
                  <v:shadow on="t" opacity="24903f" origin=",.5" offset="0,20000emu"/>
                </v:line>
                <v:shape id="1051" o:spid="_x0000_s1048" type="#_x0000_t32" style="position:absolute;left:17086;top:38423;width:3927;height:0;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LyBS8EAAADbAAAADwAAAGRycy9kb3ducmV2LnhtbESPwYrCQBBE7wv7D0MLexGdmIMsWUcR&#10;QfS4GnGvTaZNgpmekOk18e8dQfBYVNUrarEaXKNu1IXas4HZNAFFXHhbc2nglG8n36CCIFtsPJOB&#10;OwVYLT8/FphZ3/OBbkcpVYRwyNBAJdJmWoeiIodh6lvi6F1851Ci7EptO+wj3DU6TZK5dlhzXKiw&#10;pU1FxfX47wzMT/2v3W3lnI//krw8FHa3H4sxX6Nh/QNKaJB3+NXeWwNpCs8v8Qfo5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EvIFLwQAAANsAAAAPAAAAAAAAAAAAAAAA&#10;AKECAABkcnMvZG93bnJldi54bWxQSwUGAAAAAAQABAD5AAAAjwMAAAAA&#10;" strokeweight="2pt">
                  <v:stroke endarrow="open"/>
                  <v:shadow on="t" opacity="24903f" origin=",.5" offset="0,20000emu"/>
                </v:shape>
                <v:shape id="1052" o:spid="_x0000_s1049" type="#_x0000_t202" style="position:absolute;left:31236;top:40383;width:38093;height:340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4C73A03F" w14:textId="77777777" w:rsidR="005B0592" w:rsidRDefault="00ED290B">
                        <w:pPr>
                          <w:pStyle w:val="NormalWeb"/>
                          <w:spacing w:before="0" w:beforeAutospacing="0" w:after="0" w:afterAutospacing="0"/>
                          <w:jc w:val="center"/>
                          <w:rPr>
                            <w:sz w:val="18"/>
                            <w:szCs w:val="18"/>
                          </w:rPr>
                        </w:pPr>
                        <w:r>
                          <w:rPr>
                            <w:rFonts w:ascii="Arial" w:hAnsi="Arial" w:cs="Arial"/>
                            <w:color w:val="000000"/>
                            <w:kern w:val="24"/>
                            <w:sz w:val="18"/>
                            <w:szCs w:val="18"/>
                            <w:lang w:val="es-ES_tradnl"/>
                          </w:rPr>
                          <w:t xml:space="preserve">Defectos coagulación, reactividad vascular, respuesta inflamatoria, alteraciones en el metabolismo de glucosa y ácidos grasos.  </w:t>
                        </w:r>
                      </w:p>
                    </w:txbxContent>
                  </v:textbox>
                </v:shape>
                <v:shape id="1053" o:spid="_x0000_s1050" type="#_x0000_t32" style="position:absolute;left:46282;top:38654;width:3432;height:31;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Bm8pMIAAADbAAAADwAAAGRycy9kb3ducmV2LnhtbESPwYrCQBBE74L/MLSwF1knKyISHWVZ&#10;ED2qEffaZNokbKYnZHpN/HtHEDwWVfWKWm16V6sbtaHybOBrkoAizr2tuDBwzrafC1BBkC3WnsnA&#10;nQJs1sPBClPrOz7S7SSFihAOKRooRZpU65CX5DBMfEMcvatvHUqUbaFti12Eu1pPk2SuHVYcF0ps&#10;6Kek/O/07wzMz93B7rZyyca/SVYcc7vbj8WYj1H/vQQl1Ms7/GrvrYHpDJ5f4g/Q6w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Bm8pMIAAADbAAAADwAAAAAAAAAAAAAA&#10;AAChAgAAZHJzL2Rvd25yZXYueG1sUEsFBgAAAAAEAAQA+QAAAJADAAAAAA==&#10;" strokeweight="2pt">
                  <v:stroke endarrow="open"/>
                  <v:shadow on="t" opacity="24903f" origin=",.5" offset="0,20000emu"/>
                </v:shape>
                <w10:anchorlock/>
              </v:group>
            </w:pict>
          </mc:Fallback>
        </mc:AlternateContent>
      </w:r>
    </w:p>
    <w:p w14:paraId="6CBB4922" w14:textId="77777777" w:rsidR="00CA5528" w:rsidRDefault="00CA5528">
      <w:pPr>
        <w:rPr>
          <w:rFonts w:ascii="Arial" w:hAnsi="Arial" w:cs="Arial"/>
        </w:rPr>
      </w:pPr>
    </w:p>
    <w:p w14:paraId="67F1A113" w14:textId="77777777" w:rsidR="00CA5528" w:rsidRDefault="00CA5528">
      <w:pPr>
        <w:rPr>
          <w:rFonts w:ascii="Arial" w:hAnsi="Arial" w:cs="Arial"/>
        </w:rPr>
      </w:pPr>
    </w:p>
    <w:p w14:paraId="3BBD3C54" w14:textId="77777777" w:rsidR="00CA5528" w:rsidRDefault="00CA5528">
      <w:pPr>
        <w:rPr>
          <w:rFonts w:ascii="Arial" w:hAnsi="Arial" w:cs="Arial"/>
        </w:rPr>
      </w:pPr>
    </w:p>
    <w:p w14:paraId="65C047F7" w14:textId="77777777" w:rsidR="00CA5528" w:rsidRDefault="00CA5528">
      <w:pPr>
        <w:rPr>
          <w:rFonts w:ascii="Arial" w:hAnsi="Arial" w:cs="Arial"/>
        </w:rPr>
      </w:pPr>
    </w:p>
    <w:p w14:paraId="1C95CCB0" w14:textId="77777777" w:rsidR="00CA5528" w:rsidRDefault="00CA5528">
      <w:pPr>
        <w:rPr>
          <w:rFonts w:ascii="Arial" w:hAnsi="Arial" w:cs="Arial"/>
        </w:rPr>
      </w:pPr>
    </w:p>
    <w:p w14:paraId="39DA3C60" w14:textId="77777777" w:rsidR="00CA5528" w:rsidRDefault="00CA5528">
      <w:pPr>
        <w:rPr>
          <w:rFonts w:ascii="Arial" w:hAnsi="Arial" w:cs="Arial"/>
        </w:rPr>
      </w:pPr>
    </w:p>
    <w:p w14:paraId="044B10CF" w14:textId="77777777" w:rsidR="00CA5528" w:rsidRDefault="00CA5528">
      <w:pPr>
        <w:rPr>
          <w:rFonts w:ascii="Arial" w:hAnsi="Arial" w:cs="Arial"/>
        </w:rPr>
      </w:pPr>
    </w:p>
    <w:p w14:paraId="4ED0982F" w14:textId="77777777" w:rsidR="00CA5528" w:rsidRDefault="00CA5528">
      <w:pPr>
        <w:rPr>
          <w:rFonts w:ascii="Arial" w:hAnsi="Arial" w:cs="Arial"/>
        </w:rPr>
      </w:pPr>
    </w:p>
    <w:p w14:paraId="336B2BC0" w14:textId="77777777" w:rsidR="00CA5528" w:rsidRDefault="00CA5528">
      <w:pPr>
        <w:rPr>
          <w:rFonts w:ascii="Arial" w:hAnsi="Arial" w:cs="Arial"/>
        </w:rPr>
      </w:pPr>
    </w:p>
    <w:p w14:paraId="317A3513" w14:textId="77777777" w:rsidR="00CA5528" w:rsidRDefault="00CA5528">
      <w:pPr>
        <w:rPr>
          <w:rFonts w:ascii="Arial" w:hAnsi="Arial" w:cs="Arial"/>
        </w:rPr>
      </w:pPr>
    </w:p>
    <w:p w14:paraId="3852E8F4" w14:textId="77777777" w:rsidR="00CA5528" w:rsidRDefault="00CA5528">
      <w:pPr>
        <w:rPr>
          <w:rFonts w:ascii="Arial" w:hAnsi="Arial" w:cs="Arial"/>
        </w:rPr>
      </w:pPr>
    </w:p>
    <w:p w14:paraId="5FBFA451" w14:textId="77777777" w:rsidR="00CA5528" w:rsidRDefault="00CA5528">
      <w:pPr>
        <w:rPr>
          <w:rFonts w:ascii="Arial" w:hAnsi="Arial" w:cs="Arial"/>
        </w:rPr>
      </w:pPr>
    </w:p>
    <w:p w14:paraId="560FA2CC" w14:textId="77777777" w:rsidR="00CA5528" w:rsidRDefault="00CA5528">
      <w:pPr>
        <w:rPr>
          <w:rFonts w:ascii="Arial" w:hAnsi="Arial" w:cs="Arial"/>
        </w:rPr>
      </w:pPr>
    </w:p>
    <w:p w14:paraId="30E5511D" w14:textId="77777777" w:rsidR="00CA5528" w:rsidRDefault="00CA5528">
      <w:pPr>
        <w:rPr>
          <w:rFonts w:ascii="Arial" w:hAnsi="Arial" w:cs="Arial"/>
        </w:rPr>
      </w:pPr>
    </w:p>
    <w:p w14:paraId="686599AD" w14:textId="77777777" w:rsidR="00CA5528" w:rsidRDefault="00CA5528">
      <w:pPr>
        <w:rPr>
          <w:rFonts w:ascii="Arial" w:hAnsi="Arial" w:cs="Arial"/>
        </w:rPr>
      </w:pPr>
    </w:p>
    <w:p w14:paraId="594C7611" w14:textId="255FF15D" w:rsidR="001A0EA8" w:rsidRDefault="00ED290B">
      <w:pPr>
        <w:rPr>
          <w:rFonts w:ascii="Arial" w:hAnsi="Arial" w:cs="Arial"/>
        </w:rPr>
      </w:pPr>
      <w:r>
        <w:rPr>
          <w:rFonts w:ascii="Arial" w:hAnsi="Arial" w:cs="Arial"/>
        </w:rPr>
        <w:t xml:space="preserve">Gráfica 2 </w:t>
      </w:r>
    </w:p>
    <w:p w14:paraId="655A3F24" w14:textId="25FE4283" w:rsidR="001A0EA8" w:rsidRDefault="005334D6">
      <w:pPr>
        <w:rPr>
          <w:rFonts w:ascii="Arial" w:hAnsi="Arial" w:cs="Arial"/>
        </w:rPr>
      </w:pPr>
      <w:r w:rsidRPr="0093507D">
        <w:rPr>
          <w:rFonts w:ascii="Arial" w:hAnsi="Arial" w:cs="Arial"/>
          <w:noProof/>
          <w:lang w:eastAsia="es-ES_tradnl"/>
        </w:rPr>
        <mc:AlternateContent>
          <mc:Choice Requires="wpg">
            <w:drawing>
              <wp:inline distT="0" distB="0" distL="0" distR="0" wp14:anchorId="264A501E" wp14:editId="26248911">
                <wp:extent cx="5145949" cy="4998266"/>
                <wp:effectExtent l="0" t="0" r="36195" b="31115"/>
                <wp:docPr id="56" name="55 Grupo"/>
                <wp:cNvGraphicFramePr/>
                <a:graphic xmlns:a="http://schemas.openxmlformats.org/drawingml/2006/main">
                  <a:graphicData uri="http://schemas.microsoft.com/office/word/2010/wordprocessingGroup">
                    <wpg:wgp>
                      <wpg:cNvGrpSpPr/>
                      <wpg:grpSpPr>
                        <a:xfrm>
                          <a:off x="0" y="0"/>
                          <a:ext cx="5145949" cy="4998266"/>
                          <a:chOff x="785786" y="1071546"/>
                          <a:chExt cx="6474590" cy="3633559"/>
                        </a:xfrm>
                      </wpg:grpSpPr>
                      <wps:wsp>
                        <wps:cNvPr id="30" name="3 CuadroTexto"/>
                        <wps:cNvSpPr txBox="1">
                          <a:spLocks noChangeArrowheads="1"/>
                        </wps:cNvSpPr>
                        <wps:spPr bwMode="auto">
                          <a:xfrm>
                            <a:off x="785786" y="1071546"/>
                            <a:ext cx="1821102" cy="509521"/>
                          </a:xfrm>
                          <a:prstGeom prst="rect">
                            <a:avLst/>
                          </a:prstGeom>
                          <a:noFill/>
                          <a:ln w="9525">
                            <a:solidFill>
                              <a:srgbClr val="000000"/>
                            </a:solidFill>
                            <a:miter lim="800000"/>
                            <a:headEnd/>
                            <a:tailEnd/>
                          </a:ln>
                        </wps:spPr>
                        <wps:txbx>
                          <w:txbxContent>
                            <w:p w14:paraId="665D4C6E"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Ingesta de grasas, azúcar, condimentos y alcohol</w:t>
                              </w:r>
                            </w:p>
                          </w:txbxContent>
                        </wps:txbx>
                        <wps:bodyPr vert="horz" wrap="square" lIns="91440" tIns="45720" rIns="91440" bIns="45720" numCol="1" anchor="t" anchorCtr="0" compatLnSpc="1">
                          <a:prstTxWarp prst="textNoShape">
                            <a:avLst/>
                          </a:prstTxWarp>
                        </wps:bodyPr>
                      </wps:wsp>
                      <wps:wsp>
                        <wps:cNvPr id="31" name="4 CuadroTexto"/>
                        <wps:cNvSpPr txBox="1">
                          <a:spLocks noChangeArrowheads="1"/>
                        </wps:cNvSpPr>
                        <wps:spPr bwMode="auto">
                          <a:xfrm>
                            <a:off x="785786" y="1571612"/>
                            <a:ext cx="1821102" cy="357190"/>
                          </a:xfrm>
                          <a:prstGeom prst="rect">
                            <a:avLst/>
                          </a:prstGeom>
                          <a:noFill/>
                          <a:ln w="9525">
                            <a:solidFill>
                              <a:srgbClr val="000000"/>
                            </a:solidFill>
                            <a:miter lim="800000"/>
                            <a:headEnd/>
                            <a:tailEnd/>
                          </a:ln>
                        </wps:spPr>
                        <wps:txbx>
                          <w:txbxContent>
                            <w:p w14:paraId="70D936A1"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Ideas obsesivas, preocupación, abuso intelectual</w:t>
                              </w:r>
                            </w:p>
                          </w:txbxContent>
                        </wps:txbx>
                        <wps:bodyPr vert="horz" wrap="square" lIns="91440" tIns="45720" rIns="91440" bIns="45720" numCol="1" anchor="t" anchorCtr="0" compatLnSpc="1">
                          <a:prstTxWarp prst="textNoShape">
                            <a:avLst/>
                          </a:prstTxWarp>
                        </wps:bodyPr>
                      </wps:wsp>
                      <wps:wsp>
                        <wps:cNvPr id="32" name="5 CuadroTexto"/>
                        <wps:cNvSpPr txBox="1">
                          <a:spLocks noChangeArrowheads="1"/>
                        </wps:cNvSpPr>
                        <wps:spPr bwMode="auto">
                          <a:xfrm>
                            <a:off x="785786" y="2500306"/>
                            <a:ext cx="1821102" cy="500066"/>
                          </a:xfrm>
                          <a:prstGeom prst="rect">
                            <a:avLst/>
                          </a:prstGeom>
                          <a:noFill/>
                          <a:ln w="9525">
                            <a:solidFill>
                              <a:srgbClr val="000000"/>
                            </a:solidFill>
                            <a:miter lim="800000"/>
                            <a:headEnd/>
                            <a:tailEnd/>
                          </a:ln>
                        </wps:spPr>
                        <wps:txbx>
                          <w:txbxContent>
                            <w:p w14:paraId="7E9599F8"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Climaterio</w:t>
                              </w:r>
                            </w:p>
                            <w:p w14:paraId="4C40ACCA"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Hipersexualidad</w:t>
                              </w:r>
                            </w:p>
                            <w:p w14:paraId="68319839"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Exceso de actividad física</w:t>
                              </w:r>
                            </w:p>
                          </w:txbxContent>
                        </wps:txbx>
                        <wps:bodyPr vert="horz" wrap="square" lIns="91440" tIns="45720" rIns="91440" bIns="45720" numCol="1" anchor="t" anchorCtr="0" compatLnSpc="1">
                          <a:prstTxWarp prst="textNoShape">
                            <a:avLst/>
                          </a:prstTxWarp>
                        </wps:bodyPr>
                      </wps:wsp>
                      <wps:wsp>
                        <wps:cNvPr id="33" name="6 CuadroTexto"/>
                        <wps:cNvSpPr txBox="1">
                          <a:spLocks noChangeArrowheads="1"/>
                        </wps:cNvSpPr>
                        <wps:spPr bwMode="auto">
                          <a:xfrm>
                            <a:off x="3143240" y="1857364"/>
                            <a:ext cx="1098768" cy="369130"/>
                          </a:xfrm>
                          <a:prstGeom prst="rect">
                            <a:avLst/>
                          </a:prstGeom>
                          <a:noFill/>
                          <a:ln w="9525">
                            <a:solidFill>
                              <a:srgbClr val="000000"/>
                            </a:solidFill>
                            <a:miter lim="800000"/>
                            <a:headEnd/>
                            <a:tailEnd/>
                          </a:ln>
                        </wps:spPr>
                        <wps:txbx>
                          <w:txbxContent>
                            <w:p w14:paraId="78C65078"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Deficiencia Qi Bazo</w:t>
                              </w:r>
                            </w:p>
                          </w:txbxContent>
                        </wps:txbx>
                        <wps:bodyPr vert="horz" wrap="square" lIns="91440" tIns="45720" rIns="91440" bIns="45720" numCol="1" anchor="t" anchorCtr="0" compatLnSpc="1">
                          <a:prstTxWarp prst="textNoShape">
                            <a:avLst/>
                          </a:prstTxWarp>
                        </wps:bodyPr>
                      </wps:wsp>
                      <wps:wsp>
                        <wps:cNvPr id="34" name="7 CuadroTexto"/>
                        <wps:cNvSpPr txBox="1">
                          <a:spLocks noChangeArrowheads="1"/>
                        </wps:cNvSpPr>
                        <wps:spPr bwMode="auto">
                          <a:xfrm>
                            <a:off x="4714876" y="1857364"/>
                            <a:ext cx="784206" cy="369130"/>
                          </a:xfrm>
                          <a:prstGeom prst="rect">
                            <a:avLst/>
                          </a:prstGeom>
                          <a:noFill/>
                          <a:ln w="9525">
                            <a:solidFill>
                              <a:srgbClr val="000000"/>
                            </a:solidFill>
                            <a:miter lim="800000"/>
                            <a:headEnd/>
                            <a:tailEnd/>
                          </a:ln>
                        </wps:spPr>
                        <wps:txbx>
                          <w:txbxContent>
                            <w:p w14:paraId="3C124716"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Humedad Bazo</w:t>
                              </w:r>
                            </w:p>
                          </w:txbxContent>
                        </wps:txbx>
                        <wps:bodyPr vert="horz" wrap="square" lIns="91440" tIns="45720" rIns="91440" bIns="45720" numCol="1" anchor="t" anchorCtr="0" compatLnSpc="1">
                          <a:prstTxWarp prst="textNoShape">
                            <a:avLst/>
                          </a:prstTxWarp>
                        </wps:bodyPr>
                      </wps:wsp>
                      <wps:wsp>
                        <wps:cNvPr id="35" name="9 Conector recto de flecha"/>
                        <wps:cNvCnPr>
                          <a:cxnSpLocks noChangeShapeType="1"/>
                        </wps:cNvCnPr>
                        <wps:spPr bwMode="auto">
                          <a:xfrm>
                            <a:off x="2643174" y="1428736"/>
                            <a:ext cx="500066" cy="357190"/>
                          </a:xfrm>
                          <a:prstGeom prst="straightConnector1">
                            <a:avLst/>
                          </a:prstGeom>
                          <a:noFill/>
                          <a:ln w="9525">
                            <a:solidFill>
                              <a:srgbClr val="000000"/>
                            </a:solidFill>
                            <a:round/>
                            <a:headEnd/>
                            <a:tailEnd type="arrow" w="med" len="med"/>
                          </a:ln>
                        </wps:spPr>
                        <wps:bodyPr/>
                      </wps:wsp>
                      <wps:wsp>
                        <wps:cNvPr id="36" name="11 Conector recto de flecha"/>
                        <wps:cNvCnPr>
                          <a:cxnSpLocks noChangeShapeType="1"/>
                        </wps:cNvCnPr>
                        <wps:spPr bwMode="auto">
                          <a:xfrm>
                            <a:off x="2643174" y="1785926"/>
                            <a:ext cx="357190" cy="142876"/>
                          </a:xfrm>
                          <a:prstGeom prst="straightConnector1">
                            <a:avLst/>
                          </a:prstGeom>
                          <a:noFill/>
                          <a:ln w="9525">
                            <a:solidFill>
                              <a:srgbClr val="000000"/>
                            </a:solidFill>
                            <a:round/>
                            <a:headEnd/>
                            <a:tailEnd type="arrow" w="med" len="med"/>
                          </a:ln>
                        </wps:spPr>
                        <wps:bodyPr/>
                      </wps:wsp>
                      <wps:wsp>
                        <wps:cNvPr id="37" name="17 Conector recto de flecha"/>
                        <wps:cNvCnPr>
                          <a:cxnSpLocks noChangeShapeType="1"/>
                        </wps:cNvCnPr>
                        <wps:spPr bwMode="auto">
                          <a:xfrm flipV="1">
                            <a:off x="2643174" y="2071678"/>
                            <a:ext cx="428628" cy="100552"/>
                          </a:xfrm>
                          <a:prstGeom prst="straightConnector1">
                            <a:avLst/>
                          </a:prstGeom>
                          <a:noFill/>
                          <a:ln w="9525">
                            <a:solidFill>
                              <a:srgbClr val="000000"/>
                            </a:solidFill>
                            <a:round/>
                            <a:headEnd/>
                            <a:tailEnd type="arrow" w="med" len="med"/>
                          </a:ln>
                        </wps:spPr>
                        <wps:bodyPr/>
                      </wps:wsp>
                      <wps:wsp>
                        <wps:cNvPr id="38" name="18 Conector recto de flecha"/>
                        <wps:cNvCnPr>
                          <a:cxnSpLocks noChangeShapeType="1"/>
                        </wps:cNvCnPr>
                        <wps:spPr bwMode="auto">
                          <a:xfrm>
                            <a:off x="4286248" y="2071678"/>
                            <a:ext cx="303505" cy="0"/>
                          </a:xfrm>
                          <a:prstGeom prst="straightConnector1">
                            <a:avLst/>
                          </a:prstGeom>
                          <a:noFill/>
                          <a:ln w="9525">
                            <a:solidFill>
                              <a:srgbClr val="000000"/>
                            </a:solidFill>
                            <a:round/>
                            <a:headEnd/>
                            <a:tailEnd type="arrow" w="med" len="med"/>
                          </a:ln>
                        </wps:spPr>
                        <wps:bodyPr/>
                      </wps:wsp>
                      <wps:wsp>
                        <wps:cNvPr id="39" name="19 CuadroTexto"/>
                        <wps:cNvSpPr txBox="1">
                          <a:spLocks noChangeArrowheads="1"/>
                        </wps:cNvSpPr>
                        <wps:spPr bwMode="auto">
                          <a:xfrm>
                            <a:off x="785786" y="1928802"/>
                            <a:ext cx="1821102" cy="357190"/>
                          </a:xfrm>
                          <a:prstGeom prst="rect">
                            <a:avLst/>
                          </a:prstGeom>
                          <a:noFill/>
                          <a:ln w="9525">
                            <a:solidFill>
                              <a:srgbClr val="000000"/>
                            </a:solidFill>
                            <a:miter lim="800000"/>
                            <a:headEnd/>
                            <a:tailEnd/>
                          </a:ln>
                        </wps:spPr>
                        <wps:txbx>
                          <w:txbxContent>
                            <w:p w14:paraId="0B7341E2"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Sedentarismo</w:t>
                              </w:r>
                            </w:p>
                            <w:p w14:paraId="5FB339E4"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InsulinoResistencia</w:t>
                              </w:r>
                            </w:p>
                          </w:txbxContent>
                        </wps:txbx>
                        <wps:bodyPr vert="horz" wrap="square" lIns="91440" tIns="45720" rIns="91440" bIns="45720" numCol="1" anchor="t" anchorCtr="0" compatLnSpc="1">
                          <a:prstTxWarp prst="textNoShape">
                            <a:avLst/>
                          </a:prstTxWarp>
                        </wps:bodyPr>
                      </wps:wsp>
                      <wps:wsp>
                        <wps:cNvPr id="40" name="20 CuadroTexto"/>
                        <wps:cNvSpPr txBox="1">
                          <a:spLocks noChangeArrowheads="1"/>
                        </wps:cNvSpPr>
                        <wps:spPr bwMode="auto">
                          <a:xfrm>
                            <a:off x="3071802" y="2500306"/>
                            <a:ext cx="1264615" cy="509521"/>
                          </a:xfrm>
                          <a:prstGeom prst="rect">
                            <a:avLst/>
                          </a:prstGeom>
                          <a:noFill/>
                          <a:ln w="9525">
                            <a:solidFill>
                              <a:srgbClr val="000000"/>
                            </a:solidFill>
                            <a:miter lim="800000"/>
                            <a:headEnd/>
                            <a:tailEnd/>
                          </a:ln>
                        </wps:spPr>
                        <wps:txbx>
                          <w:txbxContent>
                            <w:p w14:paraId="3EB9EA52"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Deficiencia Yin-Yang y Qi del Riñón</w:t>
                              </w:r>
                            </w:p>
                          </w:txbxContent>
                        </wps:txbx>
                        <wps:bodyPr vert="horz" wrap="square" lIns="91440" tIns="45720" rIns="91440" bIns="45720" numCol="1" anchor="t" anchorCtr="0" compatLnSpc="1">
                          <a:prstTxWarp prst="textNoShape">
                            <a:avLst/>
                          </a:prstTxWarp>
                        </wps:bodyPr>
                      </wps:wsp>
                      <wps:wsp>
                        <wps:cNvPr id="41" name="21 Conector recto de flecha"/>
                        <wps:cNvCnPr>
                          <a:cxnSpLocks noChangeShapeType="1"/>
                        </wps:cNvCnPr>
                        <wps:spPr bwMode="auto">
                          <a:xfrm>
                            <a:off x="2643174" y="2714620"/>
                            <a:ext cx="303505" cy="0"/>
                          </a:xfrm>
                          <a:prstGeom prst="straightConnector1">
                            <a:avLst/>
                          </a:prstGeom>
                          <a:noFill/>
                          <a:ln w="9525">
                            <a:solidFill>
                              <a:srgbClr val="000000"/>
                            </a:solidFill>
                            <a:round/>
                            <a:headEnd/>
                            <a:tailEnd type="arrow" w="med" len="med"/>
                          </a:ln>
                        </wps:spPr>
                        <wps:bodyPr/>
                      </wps:wsp>
                      <wps:wsp>
                        <wps:cNvPr id="42" name="22 CuadroTexto"/>
                        <wps:cNvSpPr txBox="1">
                          <a:spLocks noChangeArrowheads="1"/>
                        </wps:cNvSpPr>
                        <wps:spPr bwMode="auto">
                          <a:xfrm>
                            <a:off x="785786" y="3071810"/>
                            <a:ext cx="1821102" cy="500066"/>
                          </a:xfrm>
                          <a:prstGeom prst="rect">
                            <a:avLst/>
                          </a:prstGeom>
                          <a:noFill/>
                          <a:ln w="9525">
                            <a:solidFill>
                              <a:srgbClr val="000000"/>
                            </a:solidFill>
                            <a:miter lim="800000"/>
                            <a:headEnd/>
                            <a:tailEnd/>
                          </a:ln>
                        </wps:spPr>
                        <wps:txbx>
                          <w:txbxContent>
                            <w:p w14:paraId="533A6249"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Alteraciones genéticas relacionadas con la Insulina</w:t>
                              </w:r>
                            </w:p>
                            <w:p w14:paraId="01D97CCA"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Intolerancia a la Glucosa</w:t>
                              </w:r>
                            </w:p>
                          </w:txbxContent>
                        </wps:txbx>
                        <wps:bodyPr vert="horz" wrap="square" lIns="91440" tIns="45720" rIns="91440" bIns="45720" numCol="1" anchor="t" anchorCtr="0" compatLnSpc="1">
                          <a:prstTxWarp prst="textNoShape">
                            <a:avLst/>
                          </a:prstTxWarp>
                        </wps:bodyPr>
                      </wps:wsp>
                      <wps:wsp>
                        <wps:cNvPr id="43" name="23 CuadroTexto"/>
                        <wps:cNvSpPr txBox="1">
                          <a:spLocks noChangeArrowheads="1"/>
                        </wps:cNvSpPr>
                        <wps:spPr bwMode="auto">
                          <a:xfrm>
                            <a:off x="3071802" y="3143248"/>
                            <a:ext cx="1264615" cy="369070"/>
                          </a:xfrm>
                          <a:prstGeom prst="rect">
                            <a:avLst/>
                          </a:prstGeom>
                          <a:noFill/>
                          <a:ln w="9525">
                            <a:solidFill>
                              <a:srgbClr val="000000"/>
                            </a:solidFill>
                            <a:miter lim="800000"/>
                            <a:headEnd/>
                            <a:tailEnd/>
                          </a:ln>
                        </wps:spPr>
                        <wps:txbx>
                          <w:txbxContent>
                            <w:p w14:paraId="67F4FC65"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Deficiencia Yin del Riñón</w:t>
                              </w:r>
                            </w:p>
                          </w:txbxContent>
                        </wps:txbx>
                        <wps:bodyPr vert="horz" wrap="square" lIns="91440" tIns="45720" rIns="91440" bIns="45720" numCol="1" anchor="t" anchorCtr="0" compatLnSpc="1">
                          <a:prstTxWarp prst="textNoShape">
                            <a:avLst/>
                          </a:prstTxWarp>
                        </wps:bodyPr>
                      </wps:wsp>
                      <wps:wsp>
                        <wps:cNvPr id="44" name="24 Conector recto de flecha"/>
                        <wps:cNvCnPr>
                          <a:cxnSpLocks noChangeShapeType="1"/>
                        </wps:cNvCnPr>
                        <wps:spPr bwMode="auto">
                          <a:xfrm>
                            <a:off x="2643174" y="3286124"/>
                            <a:ext cx="303505" cy="0"/>
                          </a:xfrm>
                          <a:prstGeom prst="straightConnector1">
                            <a:avLst/>
                          </a:prstGeom>
                          <a:noFill/>
                          <a:ln w="9525">
                            <a:solidFill>
                              <a:srgbClr val="000000"/>
                            </a:solidFill>
                            <a:round/>
                            <a:headEnd/>
                            <a:tailEnd type="arrow" w="med" len="med"/>
                          </a:ln>
                        </wps:spPr>
                        <wps:bodyPr/>
                      </wps:wsp>
                      <wps:wsp>
                        <wps:cNvPr id="45" name="25 CuadroTexto"/>
                        <wps:cNvSpPr txBox="1">
                          <a:spLocks noChangeArrowheads="1"/>
                        </wps:cNvSpPr>
                        <wps:spPr bwMode="auto">
                          <a:xfrm>
                            <a:off x="857224" y="3643314"/>
                            <a:ext cx="1628089" cy="206992"/>
                          </a:xfrm>
                          <a:prstGeom prst="rect">
                            <a:avLst/>
                          </a:prstGeom>
                          <a:noFill/>
                          <a:ln w="9525">
                            <a:solidFill>
                              <a:srgbClr val="000000"/>
                            </a:solidFill>
                            <a:miter lim="800000"/>
                            <a:headEnd/>
                            <a:tailEnd/>
                          </a:ln>
                        </wps:spPr>
                        <wps:txbx>
                          <w:txbxContent>
                            <w:p w14:paraId="655B60A7"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Resistencia vascular</w:t>
                              </w:r>
                            </w:p>
                          </w:txbxContent>
                        </wps:txbx>
                        <wps:bodyPr vert="horz" wrap="square" lIns="91440" tIns="45720" rIns="91440" bIns="45720" numCol="1" anchor="t" anchorCtr="0" compatLnSpc="1">
                          <a:prstTxWarp prst="textNoShape">
                            <a:avLst/>
                          </a:prstTxWarp>
                        </wps:bodyPr>
                      </wps:wsp>
                      <wps:wsp>
                        <wps:cNvPr id="46" name="26 CuadroTexto"/>
                        <wps:cNvSpPr txBox="1">
                          <a:spLocks noChangeArrowheads="1"/>
                        </wps:cNvSpPr>
                        <wps:spPr bwMode="auto">
                          <a:xfrm>
                            <a:off x="3071802" y="3643314"/>
                            <a:ext cx="1264542" cy="369130"/>
                          </a:xfrm>
                          <a:prstGeom prst="rect">
                            <a:avLst/>
                          </a:prstGeom>
                          <a:noFill/>
                          <a:ln w="9525">
                            <a:solidFill>
                              <a:srgbClr val="000000"/>
                            </a:solidFill>
                            <a:miter lim="800000"/>
                            <a:headEnd/>
                            <a:tailEnd/>
                          </a:ln>
                        </wps:spPr>
                        <wps:txbx>
                          <w:txbxContent>
                            <w:p w14:paraId="6584A228"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Ascenso Yang de Hígado</w:t>
                              </w:r>
                            </w:p>
                          </w:txbxContent>
                        </wps:txbx>
                        <wps:bodyPr vert="horz" wrap="square" lIns="91440" tIns="45720" rIns="91440" bIns="45720" numCol="1" anchor="t" anchorCtr="0" compatLnSpc="1">
                          <a:prstTxWarp prst="textNoShape">
                            <a:avLst/>
                          </a:prstTxWarp>
                        </wps:bodyPr>
                      </wps:wsp>
                      <wps:wsp>
                        <wps:cNvPr id="47" name="27 Conector recto de flecha"/>
                        <wps:cNvCnPr>
                          <a:cxnSpLocks noChangeShapeType="1"/>
                        </wps:cNvCnPr>
                        <wps:spPr bwMode="auto">
                          <a:xfrm>
                            <a:off x="2571736" y="3786190"/>
                            <a:ext cx="303505" cy="0"/>
                          </a:xfrm>
                          <a:prstGeom prst="straightConnector1">
                            <a:avLst/>
                          </a:prstGeom>
                          <a:noFill/>
                          <a:ln w="9525">
                            <a:solidFill>
                              <a:srgbClr val="000000"/>
                            </a:solidFill>
                            <a:round/>
                            <a:headEnd/>
                            <a:tailEnd type="arrow" w="med" len="med"/>
                          </a:ln>
                        </wps:spPr>
                        <wps:bodyPr/>
                      </wps:wsp>
                      <wps:wsp>
                        <wps:cNvPr id="48" name="28 CuadroTexto"/>
                        <wps:cNvSpPr txBox="1">
                          <a:spLocks noChangeArrowheads="1"/>
                        </wps:cNvSpPr>
                        <wps:spPr bwMode="auto">
                          <a:xfrm>
                            <a:off x="857224" y="4000504"/>
                            <a:ext cx="1668873" cy="500066"/>
                          </a:xfrm>
                          <a:prstGeom prst="rect">
                            <a:avLst/>
                          </a:prstGeom>
                          <a:noFill/>
                          <a:ln w="9525">
                            <a:solidFill>
                              <a:srgbClr val="000000"/>
                            </a:solidFill>
                            <a:miter lim="800000"/>
                            <a:headEnd/>
                            <a:tailEnd/>
                          </a:ln>
                        </wps:spPr>
                        <wps:txbx>
                          <w:txbxContent>
                            <w:p w14:paraId="71B72831"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Alteraciones de la circulación sanguínea (Cólera reprimida y depresión)</w:t>
                              </w:r>
                            </w:p>
                          </w:txbxContent>
                        </wps:txbx>
                        <wps:bodyPr vert="horz" wrap="square" lIns="91440" tIns="45720" rIns="91440" bIns="45720" numCol="1" anchor="t" anchorCtr="0" compatLnSpc="1">
                          <a:prstTxWarp prst="textNoShape">
                            <a:avLst/>
                          </a:prstTxWarp>
                        </wps:bodyPr>
                      </wps:wsp>
                      <wps:wsp>
                        <wps:cNvPr id="49" name="29 CuadroTexto"/>
                        <wps:cNvSpPr txBox="1">
                          <a:spLocks noChangeArrowheads="1"/>
                        </wps:cNvSpPr>
                        <wps:spPr bwMode="auto">
                          <a:xfrm>
                            <a:off x="3071802" y="4143380"/>
                            <a:ext cx="1264542" cy="369070"/>
                          </a:xfrm>
                          <a:prstGeom prst="rect">
                            <a:avLst/>
                          </a:prstGeom>
                          <a:noFill/>
                          <a:ln w="9525">
                            <a:solidFill>
                              <a:srgbClr val="000000"/>
                            </a:solidFill>
                            <a:miter lim="800000"/>
                            <a:headEnd/>
                            <a:tailEnd/>
                          </a:ln>
                        </wps:spPr>
                        <wps:txbx>
                          <w:txbxContent>
                            <w:p w14:paraId="1732931E"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Estancamiento Xue</w:t>
                              </w:r>
                            </w:p>
                          </w:txbxContent>
                        </wps:txbx>
                        <wps:bodyPr vert="horz" wrap="square" lIns="91440" tIns="45720" rIns="91440" bIns="45720" numCol="1" anchor="t" anchorCtr="0" compatLnSpc="1">
                          <a:prstTxWarp prst="textNoShape">
                            <a:avLst/>
                          </a:prstTxWarp>
                        </wps:bodyPr>
                      </wps:wsp>
                      <wps:wsp>
                        <wps:cNvPr id="50" name="30 Conector recto de flecha"/>
                        <wps:cNvCnPr>
                          <a:cxnSpLocks noChangeShapeType="1"/>
                        </wps:cNvCnPr>
                        <wps:spPr bwMode="auto">
                          <a:xfrm>
                            <a:off x="2571736" y="4214818"/>
                            <a:ext cx="303505" cy="0"/>
                          </a:xfrm>
                          <a:prstGeom prst="straightConnector1">
                            <a:avLst/>
                          </a:prstGeom>
                          <a:noFill/>
                          <a:ln w="9525">
                            <a:solidFill>
                              <a:srgbClr val="000000"/>
                            </a:solidFill>
                            <a:round/>
                            <a:headEnd/>
                            <a:tailEnd type="arrow" w="med" len="med"/>
                          </a:ln>
                        </wps:spPr>
                        <wps:bodyPr/>
                      </wps:wsp>
                      <wps:wsp>
                        <wps:cNvPr id="51" name="31 Cerrar llave"/>
                        <wps:cNvSpPr>
                          <a:spLocks/>
                        </wps:cNvSpPr>
                        <wps:spPr bwMode="auto">
                          <a:xfrm>
                            <a:off x="5357818" y="1500174"/>
                            <a:ext cx="505817" cy="3204931"/>
                          </a:xfrm>
                          <a:prstGeom prst="rightBrace">
                            <a:avLst>
                              <a:gd name="adj1" fmla="val 8331"/>
                              <a:gd name="adj2" fmla="val 50000"/>
                            </a:avLst>
                          </a:prstGeom>
                          <a:noFill/>
                          <a:ln w="9525">
                            <a:solidFill>
                              <a:srgbClr val="000000"/>
                            </a:solidFill>
                            <a:round/>
                            <a:headEnd/>
                            <a:tailEnd/>
                          </a:ln>
                        </wps:spPr>
                        <wps:txbx>
                          <w:txbxContent>
                            <w:p w14:paraId="02A612CB" w14:textId="77777777" w:rsidR="005334D6" w:rsidRDefault="005334D6" w:rsidP="005334D6">
                              <w:pPr>
                                <w:rPr>
                                  <w:rFonts w:eastAsia="Times New Roman" w:cs="Times New Roman"/>
                                </w:rPr>
                              </w:pPr>
                            </w:p>
                          </w:txbxContent>
                        </wps:txbx>
                        <wps:bodyPr vert="horz" wrap="square" lIns="91440" tIns="45720" rIns="91440" bIns="45720" numCol="1" anchor="ctr" anchorCtr="0" compatLnSpc="1">
                          <a:prstTxWarp prst="textNoShape">
                            <a:avLst/>
                          </a:prstTxWarp>
                        </wps:bodyPr>
                      </wps:wsp>
                      <wps:wsp>
                        <wps:cNvPr id="52" name="32 CuadroTexto"/>
                        <wps:cNvSpPr txBox="1">
                          <a:spLocks noChangeArrowheads="1"/>
                        </wps:cNvSpPr>
                        <wps:spPr bwMode="auto">
                          <a:xfrm>
                            <a:off x="5857884" y="2786058"/>
                            <a:ext cx="1402492" cy="369070"/>
                          </a:xfrm>
                          <a:prstGeom prst="rect">
                            <a:avLst/>
                          </a:prstGeom>
                          <a:noFill/>
                          <a:ln w="9525">
                            <a:solidFill>
                              <a:srgbClr val="000000"/>
                            </a:solidFill>
                            <a:miter lim="800000"/>
                            <a:headEnd/>
                            <a:tailEnd/>
                          </a:ln>
                        </wps:spPr>
                        <wps:txbx>
                          <w:txbxContent>
                            <w:p w14:paraId="57B08C80"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Síndrome metabólico</w:t>
                              </w:r>
                            </w:p>
                          </w:txbxContent>
                        </wps:txbx>
                        <wps:bodyPr vert="horz" wrap="square" lIns="91440" tIns="45720" rIns="91440" bIns="45720" numCol="1" anchor="t" anchorCtr="0" compatLnSpc="1">
                          <a:prstTxWarp prst="textNoShape">
                            <a:avLst/>
                          </a:prstTxWarp>
                        </wps:bodyPr>
                      </wps:wsp>
                    </wpg:wgp>
                  </a:graphicData>
                </a:graphic>
              </wp:inline>
            </w:drawing>
          </mc:Choice>
          <mc:Fallback>
            <w:pict>
              <v:group id="55 Grupo" o:spid="_x0000_s1051" style="width:405.2pt;height:393.55pt;mso-position-horizontal-relative:char;mso-position-vertical-relative:line" coordorigin="785786,1071546" coordsize="6474590,363355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NoprQGAACIPwAADgAAAGRycy9lMm9Eb2MueG1s7Fvbcts2EH3vTP+Bw/dGBHjXRM40SuLpTJJm&#10;Jm77DJOUxJYkWJCy5H59DwCSphQ5zkUxFYV+kEkBwmVxsIuzu3j6bJtnxk0iqpQXM5M8sUwjKSIe&#10;p8VyZv5x9eqXwDSqmhUxy3iRzMzbpDKfXfz809NNOU0oX/EsToSBRopquiln5qquy+lkUkWrJGfV&#10;E14mBQoXXOSsxqtYTmLBNmg9zybUsrzJhou4FDxKqgrfvtCF5oVqf7FIovr3xaJKaiObmRhbrT6F&#10;+ryWn5OLp2y6FKxcpVEzDPYFo8hZWqDTrqkXrGbGWqQfNJWnkeAVX9RPIp5P+GKRRomaA2ZDrL3Z&#10;XAq+LtVcltPNsuzEBNHuyemLm43e3rwTRhrPTNczjYLlWCPXNS7FuuRSOJtyOUWdS1G+L9+J5oul&#10;fpPz3S5ELv9jJsZWifW2E2uyrY0IX7rEcUMnNI0IZU4YBtTztOCjFVZH/s4PXD/AAFCBWD5xna7C&#10;y6YRz/HRCpZQNmJ7tu26oWxk0o5hIofajWxTAk/VnciqrxPZ+xUrE7USlRRHIzIbw9Eis435msWC&#10;X2HOjdxURSk0o94+55gjUQCpytc8+qcyCj5fsWKZ/CoE36wSFmOERE1IDh19yJ9K+VfTSjZyvXnD&#10;YywOW6ODA5K/T4LtIpCAEmJRLT/XCl2qe2vFx6alqOrLhOeGfJiZAntHdcRuXle1lnRbRfZf8Fdp&#10;luF7Ns0KYzMz0aSrp8izNJaFsqwSy+t5JowbJneg+muWrepXy9MaeiBL85kZdJXYVArmZRGrXmqW&#10;ZvoZa54VWPpWOFpM9fZ6q5BMbNmDLLzm8S1kB/2ECa24+M80NtjrM7P6d81EYhrZbwXkHhLHkcpB&#10;vTiuT/Ei+iXX/ZJinc85JkNMgxURWp2Zdfs4r7VuweYuWf26eF9G7cJL2V1t/2KibARcY2ne8hZZ&#10;bLonZ123maWeSPMCXOvpfXuAY44a4M5JAdz1iUeoXGU2PQhwGzWgLFCh0w/nBHBnBDgOB59l9Np9&#10;1mjXVoNDITZG75QATl3Lsq3GBh4EOCpY2oqeJcDdEeBHArjdAtwbHOA2cWwqDa085eHAZ3tKj/VU&#10;uBUGvgfGoM94IcEB61xVuNrc4xnlc+jQPSrcaRHuD45wxycOEHw/wv3AodDrPwLA/VGFH0mFuy3A&#10;Q2MOJ0pUc2FIdsaNODEWWRKtWCtr8MZ5IXkjm0ZbsI9drqk20NVtCRq5QzX1T1o29SDVpJ5jEx/b&#10;TupxhwZQ5LL/Oz3eHE40yj/hJF7VgqXLVY3Z6elpqrxHiCQ3lb0cl3jCxdLwywNc06iVsJjk6KCO&#10;MzNPYpDGBK4u+aRt0wEqqumaLJZCfUS+1vlwCDlBrMBHEdI9rDRMTWFFgUmV33+oHbEi/aLHoD5+&#10;q1YIDOdgegUKLC3/bJ0kjRuxr2Eo/IGeH+xqGGgdjzYHRWJZrqucASNqvr1HCELXhJkEA6JG2oEG&#10;KwoKDoYFa3QQK7ZluxZsqCQVD/CJUbkcS7nA29/ABIeWE3KNhzQI4AXfOa7suMbP3HOo9OhIO7+e&#10;dko/hkY4tQZHuA0bKWGtdOBB3yEsqkcaJXjm0R8VFhwhfgSId9EfeoJsgsLX4iFSt6PKR1v/+KTT&#10;6WIolA6uCXthcKUUyR5Admz9eQdR9N4YFeERFGEXRKHDJ3r0bb2OqOxxY9K39bYXWv4DrOf7zfTQ&#10;OSwjxI8A8S6KQpHqMZg3qMfr+z4gG+4eQveihaOtH8DWd7EI6g5u6xFCpgCFJD0IJdtQhruHQQIX&#10;oRU0eYcIu4XhA17C71gRqpmNivAIirALodATyJjo8frDEIeWdOUB/PwzJuiY1Xkk56zTRX7okJGf&#10;vq1HkFhGkZUqRyJ4k7t5F1Eebf0Atr4L9VCEegb24fdsvYPUR9f6wNZ7ARIRtCI8c16vpj7a+iPY&#10;+i5KRYePUvV5vYNMSTvYd13t2fpz5vVj/u+RbL3bhalshKlOgtf3bL1DkS9J9vxXo61/fFvvdqEe&#10;G6GeRAiGy1gZu0kko5ampruQhhtdOquwHWRXIqt90lU1FzF2uerytEdgq2UuIVq7O+0hXSMgOKQq&#10;UkMtJ7QfuqsmswefCxbJO3rNTSr5sIybGC2L/8YMF3mGy524iWYE8BboPvtVwKPuqshDROs4VZmI&#10;6i7Rt7sB99FERCnsj19603l1j3kqiGpxptfekE3W4MYePqLlyquxgXZzUXAj7I3d3UIcizpwbbU+&#10;gHM+F/wISeXqIjOue6st31xNl/fJ++947l+gv/gfAAD//wMAUEsDBBQABgAIAAAAIQDBYh4O3QAA&#10;AAUBAAAPAAAAZHJzL2Rvd25yZXYueG1sTI/NasMwEITvhb6D2EBvjaz+xTiWQwhtT6HQpFB621gb&#10;28RaGUuxnbev2kt7WRhmmPk2X022FQP1vnGsQc0TEMSlMw1XGj72L7cpCB+QDbaOScOFPKyK66sc&#10;M+NGfqdhFyoRS9hnqKEOocuk9GVNFv3cdcTRO7reYoiyr6TpcYzltpV3SfIkLTYcF2rsaFNTedqd&#10;rYbXEcf1vXoetqfj5vK1f3z73CrS+mY2rZcgAk3hLww/+BEdish0cGc2XrQa4iPh90YvVckDiIOG&#10;RbpQIItc/qcvvgEAAP//AwBQSwECLQAUAAYACAAAACEA5JnDwPsAAADhAQAAEwAAAAAAAAAAAAAA&#10;AAAAAAAAW0NvbnRlbnRfVHlwZXNdLnhtbFBLAQItABQABgAIAAAAIQAjsmrh1wAAAJQBAAALAAAA&#10;AAAAAAAAAAAAACwBAABfcmVscy8ucmVsc1BLAQItABQABgAIAAAAIQA242imtAYAAIg/AAAOAAAA&#10;AAAAAAAAAAAAACwCAABkcnMvZTJvRG9jLnhtbFBLAQItABQABgAIAAAAIQDBYh4O3QAAAAUBAAAP&#10;AAAAAAAAAAAAAAAAAAwJAABkcnMvZG93bnJldi54bWxQSwUGAAAAAAQABADzAAAAFgoAAAAA&#10;">
                <v:shape id="3 CuadroTexto" o:spid="_x0000_s1052" type="#_x0000_t202" style="position:absolute;left:785786;top:1071546;width:1821102;height:5095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BaJaxAAA&#10;ANsAAAAPAAAAZHJzL2Rvd25yZXYueG1sRI9Nb8IwDIbvk/gPkZF2G+moNEZHQAg2aUfW8XH1GtNW&#10;a5yqyaDw6/FhEkfr9fv48WzRu0adqAu1ZwPPowQUceFtzaWB7ffH0yuoEJEtNp7JwIUCLOaDhxlm&#10;1p/5i055LJVAOGRooIqxzbQORUUOw8i3xJIdfecwytiV2nZ4Frhr9DhJXrTDmuVChS2tKip+8z8n&#10;GuPDNl1vcppM8Cddv1930+O+MeZx2C/fQEXq4335v/1pDaRiL78IAPT8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rwWiWsQAAADbAAAADwAAAAAAAAAAAAAAAACXAgAAZHJzL2Rv&#10;d25yZXYueG1sUEsFBgAAAAAEAAQA9QAAAIgDAAAAAA==&#10;" filled="f">
                  <v:textbox>
                    <w:txbxContent>
                      <w:p w14:paraId="665D4C6E"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Ingesta de grasas, azúcar, condimentos y alcohol</w:t>
                        </w:r>
                      </w:p>
                    </w:txbxContent>
                  </v:textbox>
                </v:shape>
                <v:shape id="4 CuadroTexto" o:spid="_x0000_s1053" type="#_x0000_t202" style="position:absolute;left:785786;top:1571612;width:1821102;height:3571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SQfBxAAA&#10;ANsAAAAPAAAAZHJzL2Rvd25yZXYueG1sRI/NbsIwEITvlXgHa5G4FQciFQgYhEqRONLwd13iJYmI&#10;11FsIOXp60pIPY5m55ud2aI1lbhT40rLCgb9CARxZnXJuYL9bv0+BuE8ssbKMin4IQeLeedthom2&#10;D/6me+pzESDsElRQeF8nUrqsIIOub2vi4F1sY9AH2eRSN/gIcFPJYRR9SIMlh4YCa/osKLumNxPe&#10;GJ728Wqb0miE53j19TxMLsdKqV63XU5BeGr9//ErvdEK4gH8bQkAkPN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EkHwcQAAADbAAAADwAAAAAAAAAAAAAAAACXAgAAZHJzL2Rv&#10;d25yZXYueG1sUEsFBgAAAAAEAAQA9QAAAIgDAAAAAA==&#10;" filled="f">
                  <v:textbox>
                    <w:txbxContent>
                      <w:p w14:paraId="70D936A1"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Ideas obsesivas, preocupación, abuso intelectual</w:t>
                        </w:r>
                      </w:p>
                    </w:txbxContent>
                  </v:textbox>
                </v:shape>
                <v:shape id="5 CuadroTexto" o:spid="_x0000_s1054" type="#_x0000_t202" style="position:absolute;left:785786;top:2500306;width:1821102;height:50006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m5m2xQAA&#10;ANsAAAAPAAAAZHJzL2Rvd25yZXYueG1sRI/NbsIwEITvlXgHa5F6A4dEKm2IQai0Uo8QaLku8eZH&#10;xOsodiHl6etKSD2OZuebnWw1mFZcqHeNZQWzaQSCuLC64UrBYf8+eQbhPLLG1jIp+CEHq+XoIcNU&#10;2yvv6JL7SgQIuxQV1N53qZSuqMmgm9qOOHil7Q36IPtK6h6vAW5aGUfRkzTYcGiosaPXmopz/m3C&#10;G/HxkGy2Oc3neEo2b7fPl/KrVepxPKwXIDwN/v/4nv7QCpIY/rYEAMjl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CbmbbFAAAA2wAAAA8AAAAAAAAAAAAAAAAAlwIAAGRycy9k&#10;b3ducmV2LnhtbFBLBQYAAAAABAAEAPUAAACJAwAAAAA=&#10;" filled="f">
                  <v:textbox>
                    <w:txbxContent>
                      <w:p w14:paraId="7E9599F8"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Climaterio</w:t>
                        </w:r>
                      </w:p>
                      <w:p w14:paraId="4C40ACCA"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Hipersexualidad</w:t>
                        </w:r>
                      </w:p>
                      <w:p w14:paraId="68319839"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Exceso de actividad física</w:t>
                        </w:r>
                      </w:p>
                    </w:txbxContent>
                  </v:textbox>
                </v:shape>
                <v:shape id="6 CuadroTexto" o:spid="_x0000_s1055" type="#_x0000_t202" style="position:absolute;left:3143240;top:1857364;width:1098768;height:3691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1zwtxQAA&#10;ANsAAAAPAAAAZHJzL2Rvd25yZXYueG1sRI/NbsIwEITvSLyDtUjcigORCg04CJVW6pGmob1u482P&#10;iNdRbCDl6etKlTiOZuebnc12MK24UO8aywrmswgEcWF1w5WC/OP1YQXCeWSNrWVS8EMOtul4tMFE&#10;2yu/0yXzlQgQdgkqqL3vEildUZNBN7MdcfBK2xv0QfaV1D1eA9y0chFFj9Jgw6Ghxo6eaypO2dmE&#10;NxZfebw/ZLRc4ne8f7kdn8rPVqnpZNitQXga/P34P/2mFcQx/G0JAJDp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XPC3FAAAA2wAAAA8AAAAAAAAAAAAAAAAAlwIAAGRycy9k&#10;b3ducmV2LnhtbFBLBQYAAAAABAAEAPUAAACJAwAAAAA=&#10;" filled="f">
                  <v:textbox>
                    <w:txbxContent>
                      <w:p w14:paraId="78C65078"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Deficiencia Qi Bazo</w:t>
                        </w:r>
                      </w:p>
                    </w:txbxContent>
                  </v:textbox>
                </v:shape>
                <v:shape id="7 CuadroTexto" o:spid="_x0000_s1056" type="#_x0000_t202" style="position:absolute;left:4714876;top:1857364;width:784206;height:3691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PqRZxQAA&#10;ANsAAAAPAAAAZHJzL2Rvd25yZXYueG1sRI9Lb8IwEITvlfofrK3ErTglFY80BlUFpB4hvK7bePNQ&#10;43UUG0j76+tKSBxHs/PNTrroTSMu1LnasoKXYQSCOLe65lLBfrd+noJwHlljY5kU/JCDxfzxIcVE&#10;2ytv6ZL5UgQIuwQVVN63iZQur8igG9qWOHiF7Qz6ILtS6g6vAW4aOYqisTRYc2iosKWPivLv7GzC&#10;G6PTPl5uMppM8Ctern4Ps+LYKDV46t/fQHjq/f34lv7UCuJX+N8SACD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A+pFnFAAAA2wAAAA8AAAAAAAAAAAAAAAAAlwIAAGRycy9k&#10;b3ducmV2LnhtbFBLBQYAAAAABAAEAPUAAACJAwAAAAA=&#10;" filled="f">
                  <v:textbox>
                    <w:txbxContent>
                      <w:p w14:paraId="3C124716"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Humedad Bazo</w:t>
                        </w:r>
                      </w:p>
                    </w:txbxContent>
                  </v:textbox>
                </v:shape>
                <v:shape id="9 Conector recto de flecha" o:spid="_x0000_s1057" type="#_x0000_t32" style="position:absolute;left:2643174;top:1428736;width:500066;height:3571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a0S8cQAAADbAAAADwAAAGRycy9kb3ducmV2LnhtbESPQWvCQBSE7wX/w/IKXkrdGLGV1I2I&#10;oC30VBW8PrIv2ZDs25BdY/z3bqHQ4zAz3zDrzWhbMVDva8cK5rMEBHHhdM2VgvNp/7oC4QOyxtYx&#10;KbiTh00+eVpjpt2Nf2g4hkpECPsMFZgQukxKXxiy6GeuI45e6XqLIcq+krrHW4TbVqZJ8iYt1hwX&#10;DHa0M1Q0x6tVUKaa5i/NxXy+L7HcfS/SYWgPSk2fx+0HiEBj+A//tb+0gsUSfr/EHyDzB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lrRLxxAAAANsAAAAPAAAAAAAAAAAA&#10;AAAAAKECAABkcnMvZG93bnJldi54bWxQSwUGAAAAAAQABAD5AAAAkgMAAAAA&#10;">
                  <v:stroke endarrow="open"/>
                </v:shape>
                <v:shape id="11 Conector recto de flecha" o:spid="_x0000_s1058" type="#_x0000_t32" style="position:absolute;left:2643174;top:1785926;width:357190;height:142876;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X+MhsQAAADbAAAADwAAAGRycy9kb3ducmV2LnhtbESPzWrDMBCE74W8g9hAL6WR41CnuFZC&#10;CDQt9JQf6HWx1paxtTKW4jhvXxUKPQ4z8w1TbCfbiZEG3zhWsFwkIIhLpxuuFVzO78+vIHxA1tg5&#10;JgV38rDdzB4KzLW78ZHGU6hFhLDPUYEJoc+l9KUhi37heuLoVW6wGKIcaqkHvEW47WSaJJm02HBc&#10;MNjT3lDZnq5WQZVqWj613+Zj/YLV/muVjmN3UOpxPu3eQASawn/4r/2pFawy+P0Sf4Dc/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Vf4yGxAAAANsAAAAPAAAAAAAAAAAA&#10;AAAAAKECAABkcnMvZG93bnJldi54bWxQSwUGAAAAAAQABAD5AAAAkgMAAAAA&#10;">
                  <v:stroke endarrow="open"/>
                </v:shape>
                <v:shape id="17 Conector recto de flecha" o:spid="_x0000_s1059" type="#_x0000_t32" style="position:absolute;left:2643174;top:2071678;width:428628;height:100552;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JpyesYAAADbAAAADwAAAGRycy9kb3ducmV2LnhtbESPT2vCQBTE7wW/w/KEXopuWqFKdBOk&#10;UCilIP65eHtkX7LB7Ns0u8bYT+8KBY/DzPyGWeWDbURPna8dK3idJiCIC6drrhQc9p+TBQgfkDU2&#10;jknBlTzk2ehphal2F95SvwuViBD2KSowIbSplL4wZNFPXUscvdJ1FkOUXSV1h5cIt418S5J3abHm&#10;uGCwpQ9DxWl3tgpetse6Ksvzz9XP/jaL5Hvza4peqefxsF6CCDSER/i//aUVzOZw/xJ/gMxu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yacnrGAAAA2wAAAA8AAAAAAAAA&#10;AAAAAAAAoQIAAGRycy9kb3ducmV2LnhtbFBLBQYAAAAABAAEAPkAAACUAwAAAAA=&#10;">
                  <v:stroke endarrow="open"/>
                </v:shape>
                <v:shape id="18 Conector recto de flecha" o:spid="_x0000_s1060" type="#_x0000_t32" style="position:absolute;left:4286248;top:2071678;width:30350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6y9b8EAAADbAAAADwAAAGRycy9kb3ducmV2LnhtbERPyWrDMBC9F/IPYgq5lEReaFPcKCEY&#10;mhZ6ahLodbDGlok1MpZqO38fHQo9Pt6+3c+2EyMNvnWsIF0nIIgrp1tuFFzO76tXED4ga+wck4Ib&#10;edjvFg9bLLSb+JvGU2hEDGFfoAITQl9I6StDFv3a9cSRq91gMUQ4NFIPOMVw28ksSV6kxZZjg8Ge&#10;SkPV9fRrFdSZpvTp+mM+Ns9Yl195No7dUanl43x4AxFoDv/iP/enVpDHsfFL/AFydw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LrL1vwQAAANsAAAAPAAAAAAAAAAAAAAAA&#10;AKECAABkcnMvZG93bnJldi54bWxQSwUGAAAAAAQABAD5AAAAjwMAAAAA&#10;">
                  <v:stroke endarrow="open"/>
                </v:shape>
                <v:shape id="19 CuadroTexto" o:spid="_x0000_s1061" type="#_x0000_t202" style="position:absolute;left:785786;top:1928802;width:1821102;height:3571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wvHxAAA&#10;ANsAAAAPAAAAZHJzL2Rvd25yZXYueG1sRI/NbsIwEITvSLyDtZV6K06JxE/AIARU6pGGtFyXeEki&#10;4nUUuxB4+roSEsfR7HyzM192phYXal1lWcH7IAJBnFtdcaEg23+8TUA4j6yxtkwKbuRguej35pho&#10;e+UvuqS+EAHCLkEFpfdNIqXLSzLoBrYhDt7JtgZ9kG0hdYvXADe1HEbRSBqsODSU2NC6pPyc/prw&#10;xvCQxZtdSuMxHuPN9v49Pf3USr2+dKsZCE+dfx4/0p9aQTyF/y0BAHLx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j8Lx8QAAADbAAAADwAAAAAAAAAAAAAAAACXAgAAZHJzL2Rv&#10;d25yZXYueG1sUEsFBgAAAAAEAAQA9QAAAIgDAAAAAA==&#10;" filled="f">
                  <v:textbox>
                    <w:txbxContent>
                      <w:p w14:paraId="0B7341E2"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Sedentarismo</w:t>
                        </w:r>
                      </w:p>
                      <w:p w14:paraId="5FB339E4"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InsulinoResistencia</w:t>
                        </w:r>
                      </w:p>
                    </w:txbxContent>
                  </v:textbox>
                </v:shape>
                <v:shape id="20 CuadroTexto" o:spid="_x0000_s1062" type="#_x0000_t202" style="position:absolute;left:3071802;top:2500306;width:1264615;height:5095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A9EnxAAA&#10;ANsAAAAPAAAAZHJzL2Rvd25yZXYueG1sRI9Nb8IwDIbvk/gPkSftNtIBGlshIMSHxHHrgF1NY9qK&#10;xqmaDAq/fj5M2tF6/T5+PJ13rlYXakPl2cBLPwFFnHtbcWFg97V5fgMVIrLF2jMZuFGA+az3MMXU&#10;+it/0iWLhRIIhxQNlDE2qdYhL8lh6PuGWLKTbx1GGdtC2xavAne1HiTJq3ZYsVwosaFlSfk5+3Gi&#10;MfjeDVcfGY3HeByu1vf9++lQG/P02C0moCJ18X/5r721BkZiL78IAPTs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9wPRJ8QAAADbAAAADwAAAAAAAAAAAAAAAACXAgAAZHJzL2Rv&#10;d25yZXYueG1sUEsFBgAAAAAEAAQA9QAAAIgDAAAAAA==&#10;" filled="f">
                  <v:textbox>
                    <w:txbxContent>
                      <w:p w14:paraId="3EB9EA52"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Deficiencia Yin-Yang y Qi del Riñón</w:t>
                        </w:r>
                      </w:p>
                    </w:txbxContent>
                  </v:textbox>
                </v:shape>
                <v:shape id="21 Conector recto de flecha" o:spid="_x0000_s1063" type="#_x0000_t32" style="position:absolute;left:2643174;top:2714620;width:30350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pBnj8QAAADbAAAADwAAAGRycy9kb3ducmV2LnhtbESPQWvCQBSE7wX/w/KEXopuEluV6CpF&#10;aC14qgpeH9mXbDD7NmS3Mf33rlDocZiZb5j1drCN6KnztWMF6TQBQVw4XXOl4Hz6mCxB+ICssXFM&#10;Cn7Jw3Yzelpjrt2Nv6k/hkpECPscFZgQ2lxKXxiy6KeuJY5e6TqLIcqukrrDW4TbRmZJMpcWa44L&#10;BlvaGSquxx+roMw0pS/Xi9kv3rDcHWZZ3zefSj2Ph/cViEBD+A//tb+0gtcUHl/iD5Cb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CkGePxAAAANsAAAAPAAAAAAAAAAAA&#10;AAAAAKECAABkcnMvZG93bnJldi54bWxQSwUGAAAAAAQABAD5AAAAkgMAAAAA&#10;">
                  <v:stroke endarrow="open"/>
                </v:shape>
                <v:shape id="22 CuadroTexto" o:spid="_x0000_s1064" type="#_x0000_t202" style="position:absolute;left:785786;top:3071810;width:1821102;height:50006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nerLxQAA&#10;ANsAAAAPAAAAZHJzL2Rvd25yZXYueG1sRI/NbsIwEITvSH0HaytxA6ehKm2KQYgfiWNJgV638ZJE&#10;jddRbJKUp8dIlXoczc43O7NFbyrRUuNKywqexhEI4szqknMFh8/t6BWE88gaK8uk4JccLOYPgxkm&#10;2na8pzb1uQgQdgkqKLyvEyldVpBBN7Y1cfDOtjHog2xyqRvsAtxUMo6iF2mw5NBQYE2rgrKf9GLC&#10;G/HXYbL+SGk6xe/JenM9vp1PlVLDx375DsJT7/+P/9I7reA5hvuWAAA5v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id6svFAAAA2wAAAA8AAAAAAAAAAAAAAAAAlwIAAGRycy9k&#10;b3ducmV2LnhtbFBLBQYAAAAABAAEAPUAAACJAwAAAAA=&#10;" filled="f">
                  <v:textbox>
                    <w:txbxContent>
                      <w:p w14:paraId="533A6249"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Alteraciones genéticas relacionadas con la Insulina</w:t>
                        </w:r>
                      </w:p>
                      <w:p w14:paraId="01D97CCA" w14:textId="77777777" w:rsidR="005334D6" w:rsidRDefault="005334D6" w:rsidP="005334D6">
                        <w:pPr>
                          <w:pStyle w:val="NormalWeb"/>
                          <w:spacing w:before="0" w:beforeAutospacing="0" w:after="0" w:afterAutospacing="0"/>
                          <w:jc w:val="center"/>
                          <w:textAlignment w:val="baseline"/>
                        </w:pPr>
                        <w:r>
                          <w:rPr>
                            <w:rFonts w:ascii="Arial" w:hAnsi="Arial" w:cs="Arial"/>
                            <w:b/>
                            <w:bCs/>
                            <w:color w:val="000000"/>
                            <w:kern w:val="24"/>
                            <w:sz w:val="18"/>
                            <w:szCs w:val="18"/>
                          </w:rPr>
                          <w:t>Intolerancia a la Glucosa</w:t>
                        </w:r>
                      </w:p>
                    </w:txbxContent>
                  </v:textbox>
                </v:shape>
                <v:shape id="23 CuadroTexto" o:spid="_x0000_s1065" type="#_x0000_t202" style="position:absolute;left:3071802;top:3143248;width:1264615;height:3690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0U9QxQAA&#10;ANsAAAAPAAAAZHJzL2Rvd25yZXYueG1sRI9Lb8IwEITvlfofrK3ErTglFY80BlUFpB4hvK7bePNQ&#10;43UUG0j76+tKSBxHs/PNTrroTSMu1LnasoKXYQSCOLe65lLBfrd+noJwHlljY5kU/JCDxfzxIcVE&#10;2ytv6ZL5UgQIuwQVVN63iZQur8igG9qWOHiF7Qz6ILtS6g6vAW4aOYqisTRYc2iosKWPivLv7GzC&#10;G6PTPl5uMppM8Ctern4Ps+LYKDV46t/fQHjq/f34lv7UCl5j+N8SACD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fRT1DFAAAA2wAAAA8AAAAAAAAAAAAAAAAAlwIAAGRycy9k&#10;b3ducmV2LnhtbFBLBQYAAAAABAAEAPUAAACJAwAAAAA=&#10;" filled="f">
                  <v:textbox>
                    <w:txbxContent>
                      <w:p w14:paraId="67F4FC65"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Deficiencia Yin del Riñón</w:t>
                        </w:r>
                      </w:p>
                    </w:txbxContent>
                  </v:textbox>
                </v:shape>
                <v:shape id="24 Conector recto de flecha" o:spid="_x0000_s1066" type="#_x0000_t32" style="position:absolute;left:2643174;top:3286124;width:30350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ufEF8QAAADbAAAADwAAAGRycy9kb3ducmV2LnhtbESPQWvCQBSE70L/w/KEXkrdmGqV6CYU&#10;obXQU7XQ6yP7kg1m34bsNqb/3hUEj8PMfMNsi9G2YqDeN44VzGcJCOLS6YZrBT/H9+c1CB+QNbaO&#10;ScE/eSjyh8kWM+3O/E3DIdQiQthnqMCE0GVS+tKQRT9zHXH0KtdbDFH2tdQ9niPctjJNkldpseG4&#10;YLCjnaHydPizCqpU0/zp9Gv2qyVWu6+XdBjaD6Uep+PbBkSgMdzDt/anVrBYwPVL/AEy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S58QXxAAAANsAAAAPAAAAAAAAAAAA&#10;AAAAAKECAABkcnMvZG93bnJldi54bWxQSwUGAAAAAAQABAD5AAAAkgMAAAAA&#10;">
                  <v:stroke endarrow="open"/>
                </v:shape>
                <v:shape id="25 CuadroTexto" o:spid="_x0000_s1067" type="#_x0000_t202" style="position:absolute;left:857224;top:3643314;width:1628089;height:20699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dHK/xAAA&#10;ANsAAAAPAAAAZHJzL2Rvd25yZXYueG1sRI9Lb8IwEITvSPwHayv1Bk6hvAIGVaWVOLbhdV3iJYmI&#10;11HsQuDX10hIHEez883ObNGYUpypdoVlBW/dCARxanXBmYLN+rszBuE8ssbSMim4koPFvN2aYazt&#10;hX/pnPhMBAi7GBXk3lexlC7NyaDr2oo4eEdbG/RB1pnUNV4C3JSyF0VDabDg0JBjRZ85pafkz4Q3&#10;evtNf/mT0GiEh/7y67adHHelUq8vzccUhKfGP48f6ZVW8D6A+5YAAD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3Ryv8QAAADbAAAADwAAAAAAAAAAAAAAAACXAgAAZHJzL2Rv&#10;d25yZXYueG1sUEsFBgAAAAAEAAQA9QAAAIgDAAAAAA==&#10;" filled="f">
                  <v:textbox>
                    <w:txbxContent>
                      <w:p w14:paraId="655B60A7"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Resistencia vascular</w:t>
                        </w:r>
                      </w:p>
                    </w:txbxContent>
                  </v:textbox>
                </v:shape>
                <v:shape id="26 CuadroTexto" o:spid="_x0000_s1068" type="#_x0000_t202" style="position:absolute;left:3071802;top:3643314;width:1264542;height:3691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puzIxAAA&#10;ANsAAAAPAAAAZHJzL2Rvd25yZXYueG1sRI/BbsIwEETvSPyDtUi9EQeooA0YhAqVeqSBlusSL0lE&#10;vI5iAylfj5EqcRzNzpud2aI1lbhQ40rLCgZRDII4s7rkXMFu+9l/A+E8ssbKMin4IweLebczw0Tb&#10;K3/TJfW5CBB2CSoovK8TKV1WkEEX2Zo4eEfbGPRBNrnUDV4D3FRyGMdjabDk0FBgTR8FZaf0bMIb&#10;w/1utNqkNJngYbRa337ej7+VUi+9djkF4an1z+P/9JdW8DqGx5YAADm/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6bsyMQAAADbAAAADwAAAAAAAAAAAAAAAACXAgAAZHJzL2Rv&#10;d25yZXYueG1sUEsFBgAAAAAEAAQA9QAAAIgDAAAAAA==&#10;" filled="f">
                  <v:textbox>
                    <w:txbxContent>
                      <w:p w14:paraId="6584A228"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Ascenso Yang de Hígado</w:t>
                        </w:r>
                      </w:p>
                    </w:txbxContent>
                  </v:textbox>
                </v:shape>
                <v:shape id="27 Conector recto de flecha" o:spid="_x0000_s1069" type="#_x0000_t32" style="position:absolute;left:2571736;top:3786190;width:30350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jVaYMQAAADbAAAADwAAAGRycy9kb3ducmV2LnhtbESPQWvCQBSE70L/w/IKvZS6Ma21pG5E&#10;hFrBk1ro9ZF9yYZk34bsGuO/7xYEj8PMfMMsV6NtxUC9rx0rmE0TEMSF0zVXCn5OXy8fIHxA1tg6&#10;JgVX8rDKHyZLzLS78IGGY6hEhLDPUIEJocuk9IUhi37qOuLola63GKLsK6l7vES4bWWaJO/SYs1x&#10;wWBHG0NFczxbBWWqafbc/JrvxRzLzf41HYZ2q9TT47j+BBFoDPfwrb3TCt4W8P8l/gCZ/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iNVpgxAAAANsAAAAPAAAAAAAAAAAA&#10;AAAAAKECAABkcnMvZG93bnJldi54bWxQSwUGAAAAAAQABAD5AAAAkgMAAAAA&#10;">
                  <v:stroke endarrow="open"/>
                </v:shape>
                <v:shape id="28 CuadroTexto" o:spid="_x0000_s1070" type="#_x0000_t202" style="position:absolute;left:857224;top:4000504;width:1668873;height:50006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dd0hxAAA&#10;ANsAAAAPAAAAZHJzL2Rvd25yZXYueG1sRI9Nb8IwDIbvk/gPkSftNtIBGlshIMSHxHHrgF1NY9qK&#10;xqmaDAq/fj5M2tF6/T5+PJ13rlYXakPl2cBLPwFFnHtbcWFg97V5fgMVIrLF2jMZuFGA+az3MMXU&#10;+it/0iWLhRIIhxQNlDE2qdYhL8lh6PuGWLKTbx1GGdtC2xavAne1HiTJq3ZYsVwosaFlSfk5+3Gi&#10;MfjeDVcfGY3HeByu1vf9++lQG/P02C0moCJ18X/5r721BkYiK78IAPTs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XXdIcQAAADbAAAADwAAAAAAAAAAAAAAAACXAgAAZHJzL2Rv&#10;d25yZXYueG1sUEsFBgAAAAAEAAQA9QAAAIgDAAAAAA==&#10;" filled="f">
                  <v:textbox>
                    <w:txbxContent>
                      <w:p w14:paraId="71B72831"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Alteraciones de la circulación sanguínea (Cólera reprimida y depresión)</w:t>
                        </w:r>
                      </w:p>
                    </w:txbxContent>
                  </v:textbox>
                </v:shape>
                <v:shape id="29 CuadroTexto" o:spid="_x0000_s1071" type="#_x0000_t202" style="position:absolute;left:3071802;top:4143380;width:1264542;height:3690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OXi6xAAA&#10;ANsAAAAPAAAAZHJzL2Rvd25yZXYueG1sRI/NbsIwEITvSLyDtUi9EYcfQQkYhKCVONJA2+sSL0lE&#10;vI5iFwJPX1eqxHE0O9/sLFatqcSVGldaVjCIYhDEmdUl5wqOh/f+KwjnkTVWlknBnRyslt3OAhNt&#10;b/xB19TnIkDYJaig8L5OpHRZQQZdZGvi4J1tY9AH2eRSN3gLcFPJYRxPpMGSQ0OBNW0Kyi7pjwlv&#10;DL+Po+0+pekUT6Pt2+Nzdv6qlHrptes5CE+tfx7/p3dawXgGf1sCAOTy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jl4usQAAADbAAAADwAAAAAAAAAAAAAAAACXAgAAZHJzL2Rv&#10;d25yZXYueG1sUEsFBgAAAAAEAAQA9QAAAIgDAAAAAA==&#10;" filled="f">
                  <v:textbox>
                    <w:txbxContent>
                      <w:p w14:paraId="1732931E"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Estancamiento Xue</w:t>
                        </w:r>
                      </w:p>
                    </w:txbxContent>
                  </v:textbox>
                </v:shape>
                <v:shape id="30 Conector recto de flecha" o:spid="_x0000_s1072" type="#_x0000_t32" style="position:absolute;left:2571736;top:4214818;width:30350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AVUycEAAADbAAAADwAAAGRycy9kb3ducmV2LnhtbERPz2vCMBS+C/sfwhvsIja1Uh2dUYaw&#10;OfBkN9j10bw2xealNFnb/ffLYeDx4/u9P862EyMNvnWsYJ2kIIgrp1tuFHx9vq2eQfiArLFzTAp+&#10;ycPx8LDYY6HdxFcay9CIGMK+QAUmhL6Q0leGLPrE9cSRq91gMUQ4NFIPOMVw28ksTbfSYsuxwWBP&#10;J0PVrfyxCupM03p5+zbnXY716bLJxrF7V+rpcX59ARFoDnfxv/tDK8jj+vgl/gB5+A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oBVTJwQAAANsAAAAPAAAAAAAAAAAAAAAA&#10;AKECAABkcnMvZG93bnJldi54bWxQSwUGAAAAAAQABAD5AAAAjwMAAAAA&#10;">
                  <v:stroke endarrow="open"/>
                </v:shape>
                <v:shapetype id="_x0000_t88" coordsize="21600,21600" o:spt="88" adj="1800,10800" path="m0,0qx10800@0l10800@2qy21600@11,10800@3l10800@1qy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31 Cerrar llave" o:spid="_x0000_s1073" type="#_x0000_t88" style="position:absolute;left:5357818;top:1500174;width:505817;height:32049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REJgxAAA&#10;ANsAAAAPAAAAZHJzL2Rvd25yZXYueG1sRI9BawIxFITvBf9DeEIvRZNVWpatUbQgFOqhVen5sXnN&#10;bt28hE2q239vhEKPw8x8wyxWg+vEmfrYetZQTBUI4tqblq2G42E7KUHEhGyw80wafinCajm6W2Bl&#10;/IU/6LxPVmQIxwo1NCmFSspYN+QwTn0gzt6X7x2mLHsrTY+XDHednCn1JB22nBcaDPTSUH3a/zgN&#10;81Bvyt3D5rt9C9a+l0rJ4vOo9f14WD+DSDSk//Bf+9VoeCzg9iX/ALm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B0RCYMQAAADbAAAADwAAAAAAAAAAAAAAAACXAgAAZHJzL2Rv&#10;d25yZXYueG1sUEsFBgAAAAAEAAQA9QAAAIgDAAAAAA==&#10;" adj="284">
                  <v:textbox>
                    <w:txbxContent>
                      <w:p w14:paraId="02A612CB" w14:textId="77777777" w:rsidR="005334D6" w:rsidRDefault="005334D6" w:rsidP="005334D6">
                        <w:pPr>
                          <w:rPr>
                            <w:rFonts w:eastAsia="Times New Roman" w:cs="Times New Roman"/>
                          </w:rPr>
                        </w:pPr>
                      </w:p>
                    </w:txbxContent>
                  </v:textbox>
                </v:shape>
                <v:shape id="32 CuadroTexto" o:spid="_x0000_s1074" type="#_x0000_t202" style="position:absolute;left:5857884;top:2786058;width:1402492;height:3690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RHwWxQAA&#10;ANsAAAAPAAAAZHJzL2Rvd25yZXYueG1sRI/NbsIwEITvSH0HaytxA6dBLW2KQYgfiWNJgV638ZJE&#10;jddRbJKUp8dIlXoczc43O7NFbyrRUuNKywqexhEI4szqknMFh8/t6BWE88gaK8uk4JccLOYPgxkm&#10;2na8pzb1uQgQdgkqKLyvEyldVpBBN7Y1cfDOtjHog2xyqRvsAtxUMo6iF2mw5NBQYE2rgrKf9GLC&#10;G/HXYbL+SGk6xe/JenM9vp1PlVLDx375DsJT7/+P/9I7reA5hvuWAAA5v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1EfBbFAAAA2wAAAA8AAAAAAAAAAAAAAAAAlwIAAGRycy9k&#10;b3ducmV2LnhtbFBLBQYAAAAABAAEAPUAAACJAwAAAAA=&#10;" filled="f">
                  <v:textbox>
                    <w:txbxContent>
                      <w:p w14:paraId="57B08C80" w14:textId="77777777" w:rsidR="005334D6" w:rsidRDefault="005334D6" w:rsidP="005334D6">
                        <w:pPr>
                          <w:pStyle w:val="NormalWeb"/>
                          <w:spacing w:beforeAutospacing="0" w:afterAutospacing="0"/>
                          <w:jc w:val="center"/>
                          <w:textAlignment w:val="baseline"/>
                        </w:pPr>
                        <w:r>
                          <w:rPr>
                            <w:rFonts w:ascii="Arial" w:hAnsi="Arial" w:cs="Arial"/>
                            <w:b/>
                            <w:bCs/>
                            <w:color w:val="000000"/>
                            <w:kern w:val="24"/>
                            <w:sz w:val="18"/>
                            <w:szCs w:val="18"/>
                          </w:rPr>
                          <w:t>Síndrome metabólico</w:t>
                        </w:r>
                      </w:p>
                    </w:txbxContent>
                  </v:textbox>
                </v:shape>
                <w10:anchorlock/>
              </v:group>
            </w:pict>
          </mc:Fallback>
        </mc:AlternateContent>
      </w:r>
    </w:p>
    <w:p w14:paraId="52354788" w14:textId="77777777" w:rsidR="001A0EA8" w:rsidRDefault="001A0EA8">
      <w:pPr>
        <w:rPr>
          <w:rFonts w:ascii="Arial" w:hAnsi="Arial" w:cs="Arial"/>
        </w:rPr>
      </w:pPr>
    </w:p>
    <w:p w14:paraId="6106051F" w14:textId="46BC823D" w:rsidR="001A0EA8" w:rsidRDefault="005334D6">
      <w:pPr>
        <w:rPr>
          <w:rFonts w:ascii="Arial" w:hAnsi="Arial" w:cs="Arial"/>
        </w:rPr>
      </w:pPr>
      <w:r>
        <w:rPr>
          <w:rFonts w:ascii="Arial" w:hAnsi="Arial" w:cs="Arial"/>
          <w:noProof/>
          <w:lang w:eastAsia="es-ES_tradnl"/>
        </w:rPr>
        <mc:AlternateContent>
          <mc:Choice Requires="wps">
            <w:drawing>
              <wp:anchor distT="0" distB="0" distL="0" distR="0" simplePos="0" relativeHeight="251657728" behindDoc="0" locked="0" layoutInCell="1" allowOverlap="1" wp14:anchorId="2476E810" wp14:editId="48DD30F5">
                <wp:simplePos x="0" y="0"/>
                <wp:positionH relativeFrom="column">
                  <wp:posOffset>0</wp:posOffset>
                </wp:positionH>
                <wp:positionV relativeFrom="paragraph">
                  <wp:posOffset>40640</wp:posOffset>
                </wp:positionV>
                <wp:extent cx="5885815" cy="452120"/>
                <wp:effectExtent l="0" t="0" r="6985" b="5080"/>
                <wp:wrapNone/>
                <wp:docPr id="1" name="1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5815" cy="45212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5A78D6D" w14:textId="354FD359" w:rsidR="005B0592" w:rsidRDefault="005334D6">
                            <w:pPr>
                              <w:rPr>
                                <w:rFonts w:ascii="Arial" w:hAnsi="Arial" w:cs="Arial"/>
                                <w:sz w:val="16"/>
                                <w:szCs w:val="16"/>
                              </w:rPr>
                            </w:pPr>
                            <w:r>
                              <w:rPr>
                                <w:rFonts w:ascii="Arial" w:hAnsi="Arial" w:cs="Arial"/>
                                <w:sz w:val="16"/>
                                <w:szCs w:val="16"/>
                                <w:lang w:val="es-ES"/>
                              </w:rPr>
                              <w:t>Imagen construida a partir de:</w:t>
                            </w:r>
                            <w:r w:rsidR="00ED290B">
                              <w:rPr>
                                <w:rFonts w:ascii="Arial" w:hAnsi="Arial" w:cs="Arial"/>
                                <w:sz w:val="16"/>
                                <w:szCs w:val="16"/>
                                <w:lang w:val="es-ES"/>
                              </w:rPr>
                              <w:t>Maria Antonieta Salazar Pineda; “Síndrome metabólico: Una revisión bibliográfica en medicina occidental y medicina tradicional China”; Tesis en acupuntura humana, Instituto politécnico nacional, México 2010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1055" o:spid="_x0000_s1075" type="#_x0000_t202" style="position:absolute;margin-left:0;margin-top:3.2pt;width:463.45pt;height:35.6pt;z-index:251657728;visibility:visible;mso-wrap-style:square;mso-width-percent:0;mso-height-percent:200;mso-wrap-distance-left:0;mso-wrap-distance-top:0;mso-wrap-distance-right:0;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EHqYQCAAARBQAADgAAAGRycy9lMm9Eb2MueG1srFTbbtwgEH2v1H9AvG98kZ3YVrxRk3SrSulF&#10;SvsBLOA1KgYK7Npp1X/vgHe37uWhquoHDMxwmJlzhuubaZDowK0TWrU4u0gx4opqJtSuxR8/bFYV&#10;Rs4TxYjUirf4iTt8s37+7Ho0Dc91ryXjFgGIcs1oWtx7b5okcbTnA3EX2nAFxk7bgXhY2l3CLBkB&#10;fZBJnqaXyagtM1ZT7hzs3s9GvI74Xcepf9d1jnskWwyx+TjaOG7DmKyvSbOzxPSCHsMg/xDFQISC&#10;S89Q98QTtLfiN6hBUKud7vwF1UOiu05QHnOAbLL0l2wee2J4zAWK48y5TO7/wdK3h/cWCQbcYaTI&#10;ABRlaVmGuozGNWB+NODgp1s9BZ+QozMPmn5ySOm7nqgdf2GtHntOGMSVhZPJ4uiM4wLIdnyjGVxA&#10;9l5HoKmzQwCEMiBAB36ezpzwySMKm2VVlVVWYkTBVpR5lkfSEtKcThvr/CuuBxQmLbbAeUQnhwfn&#10;QzSkObnE6LUUbCOkjAu7295Jiw4E9LGJX0wAkly6SRWclQ7HZsR5B4KEO4IthBv5/lpneZHe5vVq&#10;c1ldrYquKFf1VVqt0qy+rS/Toi7uN99CgFnR9IIxrh6E4iftZcXfcXvsglk1UX1obHFd5uVM0TJ6&#10;t0wyjd+fkhyEh1aUYmhxdXYiTSD2pWKQNmk8EXKeJz+HH6sMNTj9Y1WiDALzswb8tJ2i0vLqJK+t&#10;Zk8gDKuBN2Af3hGY9Np+wWiEnmyx+7wnlmMkXysQV50VRWjiuCjKK5ACskvLdmkhigJUiz1G8/TO&#10;z42/N1bserjpJOcXIMiNiFoJyp2jOsoY+i4mdXwjQmMv19Hrx0u2/g4AAP//AwBQSwMEFAAGAAgA&#10;AAAhAB83O5XbAAAABQEAAA8AAABkcnMvZG93bnJldi54bWxMj81OwzAQhO9IvIO1SNyoQwUpDdlU&#10;FRUXDkgUJDi68eZH2GvLdtPw9pgTPY5mNPNNvZmtEROFODpGuF0UIIhbp0fuET7en28eQMSkWCvj&#10;mBB+KMKmubyoVaXdid9o2qde5BKOlUIYUvKVlLEdyKq4cJ44e50LVqUsQy91UKdcbo1cFkUprRo5&#10;LwzK09NA7ff+aBE+7TDqXXj96rSZdi/d9t7PwSNeX83bRxCJ5vQfhj/8jA5NZjq4I+soDEI+khDK&#10;OxDZXC/LNYgDwmpVgmxqeU7f/AIAAP//AwBQSwECLQAUAAYACAAAACEA5JnDwPsAAADhAQAAEwAA&#10;AAAAAAAAAAAAAAAAAAAAW0NvbnRlbnRfVHlwZXNdLnhtbFBLAQItABQABgAIAAAAIQAjsmrh1wAA&#10;AJQBAAALAAAAAAAAAAAAAAAAACwBAABfcmVscy8ucmVsc1BLAQItABQABgAIAAAAIQDAYQephAIA&#10;ABEFAAAOAAAAAAAAAAAAAAAAACwCAABkcnMvZTJvRG9jLnhtbFBLAQItABQABgAIAAAAIQAfNzuV&#10;2wAAAAUBAAAPAAAAAAAAAAAAAAAAANwEAABkcnMvZG93bnJldi54bWxQSwUGAAAAAAQABADzAAAA&#10;5AUAAAAA&#10;" stroked="f">
                <v:textbox style="mso-fit-shape-to-text:t">
                  <w:txbxContent>
                    <w:p w14:paraId="05A78D6D" w14:textId="354FD359" w:rsidR="005B0592" w:rsidRDefault="005334D6">
                      <w:pPr>
                        <w:rPr>
                          <w:rFonts w:ascii="Arial" w:hAnsi="Arial" w:cs="Arial"/>
                          <w:sz w:val="16"/>
                          <w:szCs w:val="16"/>
                        </w:rPr>
                      </w:pPr>
                      <w:r>
                        <w:rPr>
                          <w:rFonts w:ascii="Arial" w:hAnsi="Arial" w:cs="Arial"/>
                          <w:sz w:val="16"/>
                          <w:szCs w:val="16"/>
                          <w:lang w:val="es-ES"/>
                        </w:rPr>
                        <w:t xml:space="preserve">Imagen construida a partir </w:t>
                      </w:r>
                      <w:proofErr w:type="spellStart"/>
                      <w:r>
                        <w:rPr>
                          <w:rFonts w:ascii="Arial" w:hAnsi="Arial" w:cs="Arial"/>
                          <w:sz w:val="16"/>
                          <w:szCs w:val="16"/>
                          <w:lang w:val="es-ES"/>
                        </w:rPr>
                        <w:t>de:</w:t>
                      </w:r>
                      <w:r w:rsidR="00ED290B">
                        <w:rPr>
                          <w:rFonts w:ascii="Arial" w:hAnsi="Arial" w:cs="Arial"/>
                          <w:sz w:val="16"/>
                          <w:szCs w:val="16"/>
                          <w:lang w:val="es-ES"/>
                        </w:rPr>
                        <w:t>Maria</w:t>
                      </w:r>
                      <w:proofErr w:type="spellEnd"/>
                      <w:r w:rsidR="00ED290B">
                        <w:rPr>
                          <w:rFonts w:ascii="Arial" w:hAnsi="Arial" w:cs="Arial"/>
                          <w:sz w:val="16"/>
                          <w:szCs w:val="16"/>
                          <w:lang w:val="es-ES"/>
                        </w:rPr>
                        <w:t xml:space="preserve"> Antonieta Salazar Pineda; “Síndrome metabólico: Una revisión bibliográfica en medicina occidental y medicina tradicional China”; Tesis en acupuntura humana, Instituto politécnico nacional, México 2010</w:t>
                      </w:r>
                    </w:p>
                  </w:txbxContent>
                </v:textbox>
              </v:shape>
            </w:pict>
          </mc:Fallback>
        </mc:AlternateContent>
      </w:r>
    </w:p>
    <w:p w14:paraId="3EFF5280" w14:textId="77777777" w:rsidR="001A0EA8" w:rsidRDefault="001A0EA8">
      <w:pPr>
        <w:rPr>
          <w:rFonts w:ascii="Arial" w:hAnsi="Arial" w:cs="Arial"/>
        </w:rPr>
      </w:pPr>
    </w:p>
    <w:p w14:paraId="640CC2FA" w14:textId="77777777" w:rsidR="001A0EA8" w:rsidRDefault="001A0EA8">
      <w:pPr>
        <w:rPr>
          <w:rFonts w:ascii="Arial" w:hAnsi="Arial" w:cs="Arial"/>
        </w:rPr>
      </w:pPr>
    </w:p>
    <w:p w14:paraId="58A0DFCA" w14:textId="1697559F" w:rsidR="001A0EA8" w:rsidRDefault="001A0EA8">
      <w:pPr>
        <w:rPr>
          <w:rFonts w:ascii="Arial" w:hAnsi="Arial" w:cs="Arial"/>
        </w:rPr>
      </w:pPr>
    </w:p>
    <w:p w14:paraId="32310915" w14:textId="1EFDE3D5" w:rsidR="005B0592" w:rsidRDefault="005B0592">
      <w:pPr>
        <w:rPr>
          <w:rFonts w:ascii="Arial" w:hAnsi="Arial" w:cs="Arial"/>
        </w:rPr>
      </w:pPr>
    </w:p>
    <w:sectPr w:rsidR="005B059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Narrow,Bold">
    <w:altName w:val="Cambria"/>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AdvTTb5929f4c">
    <w:altName w:val="Cambria"/>
    <w:charset w:val="00"/>
    <w:family w:val="swiss"/>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8A075C0"/>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nsid w:val="00000002"/>
    <w:multiLevelType w:val="hybridMultilevel"/>
    <w:tmpl w:val="5D12CF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0000003"/>
    <w:multiLevelType w:val="hybridMultilevel"/>
    <w:tmpl w:val="486E200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00000004"/>
    <w:multiLevelType w:val="hybridMultilevel"/>
    <w:tmpl w:val="292260A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00000005"/>
    <w:multiLevelType w:val="hybridMultilevel"/>
    <w:tmpl w:val="7C72B3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ED53ED2"/>
    <w:multiLevelType w:val="hybridMultilevel"/>
    <w:tmpl w:val="5A2803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592"/>
    <w:rsid w:val="000D527C"/>
    <w:rsid w:val="001A0EA8"/>
    <w:rsid w:val="001D76E2"/>
    <w:rsid w:val="002A61D1"/>
    <w:rsid w:val="00306233"/>
    <w:rsid w:val="00335DCE"/>
    <w:rsid w:val="00460EA8"/>
    <w:rsid w:val="005334D6"/>
    <w:rsid w:val="005706C4"/>
    <w:rsid w:val="00583142"/>
    <w:rsid w:val="005B0592"/>
    <w:rsid w:val="006735F0"/>
    <w:rsid w:val="00731F0F"/>
    <w:rsid w:val="0076748A"/>
    <w:rsid w:val="00B23C99"/>
    <w:rsid w:val="00BA5EB7"/>
    <w:rsid w:val="00C21D81"/>
    <w:rsid w:val="00C91FBB"/>
    <w:rsid w:val="00CA5528"/>
    <w:rsid w:val="00CD5564"/>
    <w:rsid w:val="00EC6D4E"/>
    <w:rsid w:val="00ED290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901D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rPr>
      <w:rFonts w:ascii="ArialNarrow,Bold" w:hAnsi="ArialNarrow,Bold"/>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rPr>
      <w:rFonts w:ascii="Tahoma" w:hAnsi="Tahoma" w:cs="Tahoma"/>
      <w:sz w:val="16"/>
      <w:szCs w:val="16"/>
      <w:lang w:val="es-ES_tradnl"/>
    </w:rPr>
  </w:style>
  <w:style w:type="paragraph" w:styleId="Prrafodelista">
    <w:name w:val="List Paragraph"/>
    <w:basedOn w:val="Normal"/>
    <w:uiPriority w:val="34"/>
    <w:qFormat/>
    <w:pPr>
      <w:ind w:left="720"/>
      <w:contextualSpacing/>
    </w:pPr>
  </w:style>
  <w:style w:type="table" w:styleId="Tablaconcuadrcula">
    <w:name w:val="Table Grid"/>
    <w:basedOn w:val="Tablanormal"/>
    <w:pPr>
      <w:spacing w:after="0" w:line="240" w:lineRule="auto"/>
    </w:pPr>
    <w:rPr>
      <w:sz w:val="24"/>
      <w:szCs w:val="24"/>
      <w:lang w:val="es-ES_tradn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Refdecomentario">
    <w:name w:val="annotation reference"/>
    <w:basedOn w:val="Fuentedeprrafopredeter"/>
    <w:uiPriority w:val="99"/>
    <w:rPr>
      <w:sz w:val="16"/>
      <w:szCs w:val="16"/>
    </w:rPr>
  </w:style>
  <w:style w:type="paragraph" w:styleId="Textocomentario">
    <w:name w:val="annotation text"/>
    <w:basedOn w:val="Normal"/>
    <w:link w:val="TextocomentarioCar"/>
    <w:uiPriority w:val="99"/>
    <w:rPr>
      <w:sz w:val="20"/>
      <w:szCs w:val="20"/>
    </w:rPr>
  </w:style>
  <w:style w:type="character" w:customStyle="1" w:styleId="TextocomentarioCar">
    <w:name w:val="Texto comentario Car"/>
    <w:basedOn w:val="Fuentedeprrafopredeter"/>
    <w:link w:val="Textocomentario"/>
    <w:uiPriority w:val="99"/>
    <w:rPr>
      <w:rFonts w:ascii="ArialNarrow,Bold" w:hAnsi="ArialNarrow,Bold"/>
      <w:sz w:val="20"/>
      <w:szCs w:val="20"/>
      <w:lang w:val="es-ES_tradnl"/>
    </w:rPr>
  </w:style>
  <w:style w:type="paragraph" w:styleId="Asuntodelcomentario">
    <w:name w:val="annotation subject"/>
    <w:basedOn w:val="Textocomentario"/>
    <w:next w:val="Textocomentario"/>
    <w:link w:val="AsuntodelcomentarioCar"/>
    <w:uiPriority w:val="99"/>
    <w:rPr>
      <w:b/>
      <w:bCs/>
    </w:rPr>
  </w:style>
  <w:style w:type="character" w:customStyle="1" w:styleId="AsuntodelcomentarioCar">
    <w:name w:val="Asunto del comentario Car"/>
    <w:basedOn w:val="TextocomentarioCar"/>
    <w:link w:val="Asuntodelcomentario"/>
    <w:uiPriority w:val="99"/>
    <w:rPr>
      <w:rFonts w:ascii="ArialNarrow,Bold" w:hAnsi="ArialNarrow,Bold"/>
      <w:b/>
      <w:bCs/>
      <w:sz w:val="20"/>
      <w:szCs w:val="20"/>
      <w:lang w:val="es-ES_tradnl"/>
    </w:rPr>
  </w:style>
  <w:style w:type="paragraph" w:styleId="NormalWeb">
    <w:name w:val="Normal (Web)"/>
    <w:basedOn w:val="Normal"/>
    <w:uiPriority w:val="99"/>
    <w:pPr>
      <w:spacing w:before="100" w:beforeAutospacing="1" w:after="100" w:afterAutospacing="1"/>
    </w:pPr>
    <w:rPr>
      <w:rFonts w:ascii="Times New Roman" w:eastAsiaTheme="minorEastAsia" w:hAnsi="Times New Roman" w:cs="Times New Roman"/>
      <w:lang w:val="es-CO" w:eastAsia="es-CO"/>
    </w:rPr>
  </w:style>
  <w:style w:type="paragraph" w:styleId="Encabezado">
    <w:name w:val="header"/>
    <w:basedOn w:val="Normal"/>
    <w:link w:val="EncabezadoCar"/>
    <w:uiPriority w:val="99"/>
    <w:pPr>
      <w:tabs>
        <w:tab w:val="center" w:pos="4419"/>
        <w:tab w:val="right" w:pos="8838"/>
      </w:tabs>
      <w:spacing w:after="0"/>
    </w:pPr>
  </w:style>
  <w:style w:type="character" w:customStyle="1" w:styleId="EncabezadoCar">
    <w:name w:val="Encabezado Car"/>
    <w:basedOn w:val="Fuentedeprrafopredeter"/>
    <w:link w:val="Encabezado"/>
    <w:uiPriority w:val="99"/>
    <w:rPr>
      <w:rFonts w:ascii="ArialNarrow,Bold" w:hAnsi="ArialNarrow,Bold"/>
      <w:sz w:val="24"/>
      <w:szCs w:val="24"/>
      <w:lang w:val="es-ES_tradnl"/>
    </w:rPr>
  </w:style>
  <w:style w:type="paragraph" w:styleId="Piedepgina">
    <w:name w:val="footer"/>
    <w:basedOn w:val="Normal"/>
    <w:link w:val="PiedepginaCar"/>
    <w:uiPriority w:val="99"/>
    <w:pPr>
      <w:tabs>
        <w:tab w:val="center" w:pos="4419"/>
        <w:tab w:val="right" w:pos="8838"/>
      </w:tabs>
      <w:spacing w:after="0"/>
    </w:pPr>
  </w:style>
  <w:style w:type="character" w:customStyle="1" w:styleId="PiedepginaCar">
    <w:name w:val="Pie de página Car"/>
    <w:basedOn w:val="Fuentedeprrafopredeter"/>
    <w:link w:val="Piedepgina"/>
    <w:uiPriority w:val="99"/>
    <w:rPr>
      <w:rFonts w:ascii="ArialNarrow,Bold" w:hAnsi="ArialNarrow,Bold"/>
      <w:sz w:val="24"/>
      <w:szCs w:val="24"/>
      <w:lang w:val="es-ES_tradnl"/>
    </w:rPr>
  </w:style>
  <w:style w:type="paragraph" w:styleId="Revisin">
    <w:name w:val="Revision"/>
    <w:hidden/>
    <w:uiPriority w:val="99"/>
    <w:semiHidden/>
    <w:rsid w:val="00CA5528"/>
    <w:pPr>
      <w:spacing w:after="0" w:line="240" w:lineRule="auto"/>
    </w:pPr>
    <w:rPr>
      <w:rFonts w:ascii="ArialNarrow,Bold" w:hAnsi="ArialNarrow,Bold"/>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4027</Words>
  <Characters>22153</Characters>
  <Application>Microsoft Macintosh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USURARIO</dc:creator>
  <cp:lastModifiedBy>PAOLA OSPINA</cp:lastModifiedBy>
  <cp:revision>2</cp:revision>
  <dcterms:created xsi:type="dcterms:W3CDTF">2017-01-30T13:41:00Z</dcterms:created>
  <dcterms:modified xsi:type="dcterms:W3CDTF">2017-01-30T13:41:00Z</dcterms:modified>
</cp:coreProperties>
</file>