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29" w:rsidRPr="00483C20" w:rsidRDefault="00294A2E" w:rsidP="00F16194">
      <w:pPr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483C20">
        <w:rPr>
          <w:rFonts w:asciiTheme="majorBidi" w:hAnsiTheme="majorBidi" w:cstheme="majorBidi"/>
          <w:b/>
          <w:bCs/>
          <w:sz w:val="24"/>
          <w:szCs w:val="24"/>
        </w:rPr>
        <w:t>General and central obesity is associated with snack</w:t>
      </w:r>
      <w:r w:rsidR="006851CA" w:rsidRPr="00483C20">
        <w:rPr>
          <w:rFonts w:asciiTheme="majorBidi" w:hAnsiTheme="majorBidi" w:cstheme="majorBidi"/>
          <w:b/>
          <w:bCs/>
          <w:sz w:val="24"/>
          <w:szCs w:val="24"/>
        </w:rPr>
        <w:t xml:space="preserve"> quality </w:t>
      </w:r>
      <w:r w:rsidR="00BE6915" w:rsidRPr="00483C20">
        <w:rPr>
          <w:rFonts w:asciiTheme="majorBidi" w:hAnsiTheme="majorBidi" w:cstheme="majorBidi"/>
          <w:b/>
          <w:bCs/>
          <w:sz w:val="24"/>
          <w:szCs w:val="24"/>
        </w:rPr>
        <w:t xml:space="preserve">in </w:t>
      </w:r>
      <w:r w:rsidR="00103C29" w:rsidRPr="00483C20">
        <w:rPr>
          <w:rFonts w:asciiTheme="majorBidi" w:hAnsiTheme="majorBidi" w:cstheme="majorBidi"/>
          <w:b/>
          <w:bCs/>
          <w:sz w:val="24"/>
          <w:szCs w:val="24"/>
        </w:rPr>
        <w:t xml:space="preserve">primary school children in Shiraz </w:t>
      </w:r>
    </w:p>
    <w:p w:rsidR="00483C20" w:rsidRPr="00483C20" w:rsidRDefault="00483C20" w:rsidP="00F16194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Shiva </w:t>
      </w:r>
      <w:proofErr w:type="spellStart"/>
      <w:r w:rsidRPr="00483C20">
        <w:rPr>
          <w:rFonts w:asciiTheme="majorBidi" w:hAnsiTheme="majorBidi" w:cstheme="majorBidi"/>
          <w:sz w:val="24"/>
          <w:szCs w:val="24"/>
          <w:lang w:bidi="fa-IR"/>
        </w:rPr>
        <w:t>Faghih</w:t>
      </w:r>
      <w:proofErr w:type="spellEnd"/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 PhD</w:t>
      </w:r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 School of Nutrition and Food Sciences, Shiraz University of</w:t>
      </w:r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 Medical Sciences, Shiraz, Iran</w:t>
      </w:r>
    </w:p>
    <w:p w:rsidR="00483C20" w:rsidRPr="00483C20" w:rsidRDefault="00483C20" w:rsidP="00F16194">
      <w:pPr>
        <w:spacing w:after="120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proofErr w:type="spellStart"/>
      <w:r w:rsidRPr="00483C20">
        <w:rPr>
          <w:rFonts w:asciiTheme="majorBidi" w:hAnsiTheme="majorBidi" w:cstheme="majorBidi"/>
          <w:sz w:val="24"/>
          <w:szCs w:val="24"/>
          <w:lang w:bidi="fa-IR"/>
        </w:rPr>
        <w:t>Saeed</w:t>
      </w:r>
      <w:proofErr w:type="spellEnd"/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proofErr w:type="spellStart"/>
      <w:r w:rsidRPr="00483C20">
        <w:rPr>
          <w:rFonts w:asciiTheme="majorBidi" w:hAnsiTheme="majorBidi" w:cstheme="majorBidi"/>
          <w:sz w:val="24"/>
          <w:szCs w:val="24"/>
          <w:lang w:bidi="fa-IR"/>
        </w:rPr>
        <w:t>Ghobadi</w:t>
      </w:r>
      <w:proofErr w:type="spellEnd"/>
      <w:r w:rsidRPr="00483C2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483C20">
        <w:rPr>
          <w:rFonts w:asciiTheme="majorBidi" w:hAnsiTheme="majorBidi" w:cstheme="majorBidi"/>
          <w:sz w:val="24"/>
          <w:szCs w:val="24"/>
          <w:lang w:bidi="fa-IR"/>
        </w:rPr>
        <w:t>Student Research Committee, Shiraz University of Medical Sciences, Shiraz, Iran</w:t>
      </w:r>
    </w:p>
    <w:p w:rsidR="00103C29" w:rsidRPr="00483C20" w:rsidRDefault="00103C29" w:rsidP="00F16194">
      <w:pPr>
        <w:spacing w:after="120"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DB7C2E" w:rsidRPr="00483C20" w:rsidRDefault="00103C29" w:rsidP="00F16194">
      <w:pPr>
        <w:spacing w:line="360" w:lineRule="auto"/>
        <w:jc w:val="both"/>
        <w:rPr>
          <w:rFonts w:asciiTheme="majorBidi" w:hAnsiTheme="majorBidi" w:cstheme="majorBidi"/>
          <w:b/>
          <w:bCs/>
          <w:color w:val="231F20"/>
          <w:sz w:val="24"/>
          <w:szCs w:val="24"/>
        </w:rPr>
      </w:pPr>
      <w:r w:rsidRPr="00483C20">
        <w:rPr>
          <w:rFonts w:asciiTheme="majorBidi" w:hAnsiTheme="majorBidi" w:cstheme="majorBidi"/>
          <w:b/>
          <w:bCs/>
          <w:color w:val="231F20"/>
          <w:sz w:val="24"/>
          <w:szCs w:val="24"/>
        </w:rPr>
        <w:t>Abstract</w:t>
      </w:r>
    </w:p>
    <w:p w:rsidR="00483C20" w:rsidRDefault="00483C20" w:rsidP="00F1619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83C20">
        <w:rPr>
          <w:rFonts w:asciiTheme="majorBidi" w:hAnsiTheme="majorBidi" w:cstheme="majorBidi"/>
          <w:sz w:val="24"/>
          <w:szCs w:val="24"/>
        </w:rPr>
        <w:t>Statement of the problem</w:t>
      </w:r>
      <w:r w:rsidR="00103C29" w:rsidRPr="00483C20">
        <w:rPr>
          <w:rFonts w:asciiTheme="majorBidi" w:hAnsiTheme="majorBidi" w:cstheme="majorBidi"/>
          <w:sz w:val="24"/>
          <w:szCs w:val="24"/>
        </w:rPr>
        <w:t>:</w:t>
      </w:r>
      <w:r w:rsidR="000009C4" w:rsidRPr="00483C20">
        <w:rPr>
          <w:rFonts w:asciiTheme="majorBidi" w:hAnsiTheme="majorBidi" w:cstheme="majorBidi"/>
          <w:sz w:val="24"/>
          <w:szCs w:val="24"/>
        </w:rPr>
        <w:t xml:space="preserve"> </w:t>
      </w:r>
      <w:r w:rsidR="001B43A4" w:rsidRPr="00483C20">
        <w:rPr>
          <w:rFonts w:asciiTheme="majorBidi" w:hAnsiTheme="majorBidi" w:cstheme="majorBidi"/>
          <w:sz w:val="24"/>
          <w:szCs w:val="24"/>
        </w:rPr>
        <w:t>I</w:t>
      </w:r>
      <w:r w:rsidR="006851CA" w:rsidRPr="00483C20">
        <w:rPr>
          <w:rFonts w:asciiTheme="majorBidi" w:hAnsiTheme="majorBidi" w:cstheme="majorBidi"/>
          <w:sz w:val="24"/>
          <w:szCs w:val="24"/>
        </w:rPr>
        <w:t xml:space="preserve">ncreasing prevalence of childhood obesity has been </w:t>
      </w:r>
      <w:r w:rsidR="006851CA" w:rsidRPr="00483C20">
        <w:rPr>
          <w:rFonts w:asciiTheme="majorBidi" w:hAnsiTheme="majorBidi" w:cstheme="majorBidi"/>
          <w:noProof/>
          <w:sz w:val="24"/>
          <w:szCs w:val="24"/>
        </w:rPr>
        <w:t>associated</w:t>
      </w:r>
      <w:r w:rsidR="006851CA" w:rsidRPr="00483C20">
        <w:rPr>
          <w:rFonts w:asciiTheme="majorBidi" w:hAnsiTheme="majorBidi" w:cstheme="majorBidi"/>
          <w:sz w:val="24"/>
          <w:szCs w:val="24"/>
        </w:rPr>
        <w:t xml:space="preserve"> in part </w:t>
      </w:r>
      <w:r w:rsidR="006851CA" w:rsidRPr="00483C20">
        <w:rPr>
          <w:rFonts w:asciiTheme="majorBidi" w:hAnsiTheme="majorBidi" w:cstheme="majorBidi"/>
          <w:noProof/>
          <w:sz w:val="24"/>
          <w:szCs w:val="24"/>
        </w:rPr>
        <w:t>to</w:t>
      </w:r>
      <w:r w:rsidR="006851CA" w:rsidRPr="00483C20">
        <w:rPr>
          <w:rFonts w:asciiTheme="majorBidi" w:hAnsiTheme="majorBidi" w:cstheme="majorBidi"/>
          <w:sz w:val="24"/>
          <w:szCs w:val="24"/>
        </w:rPr>
        <w:t xml:space="preserve"> diet quality. </w:t>
      </w:r>
      <w:r w:rsidR="001B43A4" w:rsidRPr="00483C20">
        <w:rPr>
          <w:rFonts w:asciiTheme="majorBidi" w:hAnsiTheme="majorBidi" w:cstheme="majorBidi"/>
          <w:sz w:val="24"/>
          <w:szCs w:val="24"/>
        </w:rPr>
        <w:t>This</w:t>
      </w:r>
      <w:r w:rsidR="006851CA" w:rsidRPr="00483C20">
        <w:rPr>
          <w:rFonts w:asciiTheme="majorBidi" w:hAnsiTheme="majorBidi" w:cstheme="majorBidi"/>
          <w:sz w:val="24"/>
          <w:szCs w:val="24"/>
        </w:rPr>
        <w:t xml:space="preserve"> study examined the relationship between body composition and nutritional quality of the meals, in Primary school children in Shiraz (Iran).</w:t>
      </w:r>
      <w:r w:rsidRPr="00483C20">
        <w:rPr>
          <w:rFonts w:asciiTheme="majorBidi" w:hAnsiTheme="majorBidi" w:cstheme="majorBidi"/>
          <w:sz w:val="24"/>
          <w:szCs w:val="24"/>
        </w:rPr>
        <w:t xml:space="preserve"> </w:t>
      </w:r>
      <w:r w:rsidRPr="00483C20">
        <w:rPr>
          <w:rFonts w:asciiTheme="majorBidi" w:hAnsiTheme="majorBidi" w:cstheme="majorBidi"/>
          <w:sz w:val="24"/>
          <w:szCs w:val="24"/>
        </w:rPr>
        <w:t xml:space="preserve">Methodology and theoretical orientation: This </w:t>
      </w:r>
      <w:r w:rsidRPr="00483C20">
        <w:rPr>
          <w:rFonts w:asciiTheme="majorBidi" w:hAnsiTheme="majorBidi" w:cstheme="majorBidi"/>
          <w:noProof/>
          <w:sz w:val="24"/>
          <w:szCs w:val="24"/>
        </w:rPr>
        <w:t>cross-sectional</w:t>
      </w:r>
      <w:r w:rsidRPr="00483C20">
        <w:rPr>
          <w:rFonts w:asciiTheme="majorBidi" w:hAnsiTheme="majorBidi" w:cstheme="majorBidi"/>
          <w:sz w:val="24"/>
          <w:szCs w:val="24"/>
        </w:rPr>
        <w:t xml:space="preserve"> study was done on 431 primary school student (219 </w:t>
      </w:r>
      <w:r w:rsidRPr="00483C20">
        <w:rPr>
          <w:rFonts w:asciiTheme="majorBidi" w:hAnsiTheme="majorBidi" w:cstheme="majorBidi"/>
          <w:noProof/>
          <w:sz w:val="24"/>
          <w:szCs w:val="24"/>
        </w:rPr>
        <w:t>boys</w:t>
      </w:r>
      <w:r w:rsidRPr="00483C20">
        <w:rPr>
          <w:rFonts w:asciiTheme="majorBidi" w:hAnsiTheme="majorBidi" w:cstheme="majorBidi"/>
          <w:sz w:val="24"/>
          <w:szCs w:val="24"/>
        </w:rPr>
        <w:t xml:space="preserve"> and 212 </w:t>
      </w:r>
      <w:r w:rsidRPr="00483C20">
        <w:rPr>
          <w:rFonts w:asciiTheme="majorBidi" w:hAnsiTheme="majorBidi" w:cstheme="majorBidi"/>
          <w:noProof/>
          <w:sz w:val="24"/>
          <w:szCs w:val="24"/>
        </w:rPr>
        <w:t>girls</w:t>
      </w:r>
      <w:r w:rsidRPr="00483C20">
        <w:rPr>
          <w:rFonts w:asciiTheme="majorBidi" w:hAnsiTheme="majorBidi" w:cstheme="majorBidi"/>
          <w:sz w:val="24"/>
          <w:szCs w:val="24"/>
        </w:rPr>
        <w:t xml:space="preserve">) </w:t>
      </w:r>
      <w:r w:rsidRPr="00483C20">
        <w:rPr>
          <w:rFonts w:asciiTheme="majorBidi" w:hAnsiTheme="majorBidi" w:cstheme="majorBidi"/>
          <w:noProof/>
          <w:sz w:val="24"/>
          <w:szCs w:val="24"/>
        </w:rPr>
        <w:t>aged</w:t>
      </w:r>
      <w:r w:rsidRPr="00483C20">
        <w:rPr>
          <w:rFonts w:asciiTheme="majorBidi" w:hAnsiTheme="majorBidi" w:cstheme="majorBidi"/>
          <w:sz w:val="24"/>
          <w:szCs w:val="24"/>
        </w:rPr>
        <w:t xml:space="preserve"> between 6 and 10 years. Using standard methods anthropometric indices including weight, height, body fat and waist circumference (WC) were measured and body mass index (BMI) was calculated. </w:t>
      </w:r>
      <w:r w:rsidRPr="00483C20">
        <w:rPr>
          <w:rFonts w:asciiTheme="majorBidi" w:hAnsiTheme="majorBidi" w:cstheme="majorBidi"/>
          <w:noProof/>
          <w:sz w:val="24"/>
          <w:szCs w:val="24"/>
        </w:rPr>
        <w:t>Also,</w:t>
      </w:r>
      <w:r w:rsidRPr="00483C20">
        <w:rPr>
          <w:rFonts w:asciiTheme="majorBidi" w:hAnsiTheme="majorBidi" w:cstheme="majorBidi"/>
          <w:sz w:val="24"/>
          <w:szCs w:val="24"/>
        </w:rPr>
        <w:t xml:space="preserve"> three 24-h dietary records (2 weekdays and 1 </w:t>
      </w:r>
      <w:r w:rsidRPr="00483C20">
        <w:rPr>
          <w:rFonts w:asciiTheme="majorBidi" w:hAnsiTheme="majorBidi" w:cstheme="majorBidi"/>
          <w:noProof/>
          <w:sz w:val="24"/>
          <w:szCs w:val="24"/>
        </w:rPr>
        <w:t>weekend</w:t>
      </w:r>
      <w:r w:rsidRPr="00483C20">
        <w:rPr>
          <w:rFonts w:asciiTheme="majorBidi" w:hAnsiTheme="majorBidi" w:cstheme="majorBidi"/>
          <w:sz w:val="24"/>
          <w:szCs w:val="24"/>
        </w:rPr>
        <w:t>) were taken.</w:t>
      </w:r>
      <w:r w:rsidRPr="00483C20">
        <w:rPr>
          <w:rStyle w:val="hps"/>
          <w:rFonts w:asciiTheme="majorBidi" w:hAnsiTheme="majorBidi" w:cstheme="majorBidi"/>
          <w:sz w:val="24"/>
          <w:szCs w:val="24"/>
        </w:rPr>
        <w:t xml:space="preserve"> The linear regression test was used to determine </w:t>
      </w:r>
      <w:r w:rsidRPr="00483C20">
        <w:rPr>
          <w:rStyle w:val="hps"/>
          <w:rFonts w:asciiTheme="majorBidi" w:hAnsiTheme="majorBidi" w:cstheme="majorBidi"/>
          <w:noProof/>
          <w:sz w:val="24"/>
          <w:szCs w:val="24"/>
        </w:rPr>
        <w:t>relationship</w:t>
      </w:r>
      <w:r w:rsidRPr="00483C20">
        <w:rPr>
          <w:rStyle w:val="hps"/>
          <w:rFonts w:asciiTheme="majorBidi" w:hAnsiTheme="majorBidi" w:cstheme="majorBidi"/>
          <w:sz w:val="24"/>
          <w:szCs w:val="24"/>
        </w:rPr>
        <w:t xml:space="preserve"> between</w:t>
      </w:r>
      <w:r w:rsidRPr="00483C20">
        <w:rPr>
          <w:rFonts w:asciiTheme="majorBidi" w:hAnsiTheme="majorBidi" w:cstheme="majorBidi"/>
          <w:sz w:val="24"/>
          <w:szCs w:val="24"/>
        </w:rPr>
        <w:t xml:space="preserve"> </w:t>
      </w:r>
      <w:r w:rsidRPr="00483C20">
        <w:rPr>
          <w:rStyle w:val="hps"/>
          <w:rFonts w:asciiTheme="majorBidi" w:hAnsiTheme="majorBidi" w:cstheme="majorBidi"/>
          <w:sz w:val="24"/>
          <w:szCs w:val="24"/>
        </w:rPr>
        <w:t xml:space="preserve">percent of energy intake of macronutrients in each </w:t>
      </w:r>
      <w:r w:rsidRPr="00483C20">
        <w:rPr>
          <w:rStyle w:val="hps"/>
          <w:rFonts w:asciiTheme="majorBidi" w:hAnsiTheme="majorBidi" w:cstheme="majorBidi"/>
          <w:noProof/>
          <w:sz w:val="24"/>
          <w:szCs w:val="24"/>
        </w:rPr>
        <w:t>meals</w:t>
      </w:r>
      <w:r w:rsidRPr="00483C20">
        <w:rPr>
          <w:rStyle w:val="hps"/>
          <w:rFonts w:asciiTheme="majorBidi" w:hAnsiTheme="majorBidi" w:cstheme="majorBidi"/>
          <w:sz w:val="24"/>
          <w:szCs w:val="24"/>
        </w:rPr>
        <w:t xml:space="preserve"> with body composition. </w:t>
      </w:r>
      <w:r w:rsidRPr="00483C20">
        <w:rPr>
          <w:rFonts w:asciiTheme="majorBidi" w:hAnsiTheme="majorBidi" w:cstheme="majorBidi"/>
          <w:sz w:val="24"/>
          <w:szCs w:val="24"/>
        </w:rPr>
        <w:t xml:space="preserve">Data were analyzed using SPSS version 19. Findings: </w:t>
      </w:r>
      <w:r w:rsidRPr="00483C20">
        <w:rPr>
          <w:rFonts w:asciiTheme="majorBidi" w:hAnsiTheme="majorBidi" w:cstheme="majorBidi"/>
          <w:noProof/>
          <w:sz w:val="24"/>
          <w:szCs w:val="24"/>
        </w:rPr>
        <w:t>The mean</w:t>
      </w:r>
      <w:r w:rsidRPr="00483C20">
        <w:rPr>
          <w:rFonts w:asciiTheme="majorBidi" w:hAnsiTheme="majorBidi" w:cstheme="majorBidi"/>
          <w:sz w:val="24"/>
          <w:szCs w:val="24"/>
        </w:rPr>
        <w:t xml:space="preserve"> age of participants was 7.8±1.03 years and the mean BMI was 16.03±2.71 kg/</w:t>
      </w:r>
      <w:proofErr w:type="spellStart"/>
      <w:r w:rsidRPr="00483C20">
        <w:rPr>
          <w:rFonts w:asciiTheme="majorBidi" w:hAnsiTheme="majorBidi" w:cstheme="majorBidi"/>
          <w:sz w:val="24"/>
          <w:szCs w:val="24"/>
        </w:rPr>
        <w:t>m2</w:t>
      </w:r>
      <w:proofErr w:type="spellEnd"/>
      <w:r w:rsidRPr="00483C20">
        <w:rPr>
          <w:rFonts w:asciiTheme="majorBidi" w:hAnsiTheme="majorBidi" w:cstheme="majorBidi"/>
          <w:sz w:val="24"/>
          <w:szCs w:val="24"/>
        </w:rPr>
        <w:t xml:space="preserve">. Results showed that WC was inversely associated with the </w:t>
      </w:r>
      <w:r w:rsidRPr="00483C20">
        <w:rPr>
          <w:rFonts w:asciiTheme="majorBidi" w:hAnsiTheme="majorBidi" w:cstheme="majorBidi"/>
          <w:noProof/>
          <w:sz w:val="24"/>
          <w:szCs w:val="24"/>
        </w:rPr>
        <w:t>percentage</w:t>
      </w:r>
      <w:r w:rsidRPr="00483C20">
        <w:rPr>
          <w:rFonts w:asciiTheme="majorBidi" w:hAnsiTheme="majorBidi" w:cstheme="majorBidi"/>
          <w:sz w:val="24"/>
          <w:szCs w:val="24"/>
        </w:rPr>
        <w:t xml:space="preserve"> of energy intake from breakfast (β= -2.04; CI: -4, 0.002) but it was not significant anymore after adjustment for total energy intake. Also the percentage of energy intake from fat content of </w:t>
      </w:r>
      <w:r w:rsidRPr="00483C20">
        <w:rPr>
          <w:rFonts w:asciiTheme="majorBidi" w:hAnsiTheme="majorBidi" w:cstheme="majorBidi"/>
          <w:noProof/>
          <w:sz w:val="24"/>
          <w:szCs w:val="24"/>
        </w:rPr>
        <w:t>snacks</w:t>
      </w:r>
      <w:r w:rsidRPr="00483C20">
        <w:rPr>
          <w:rFonts w:asciiTheme="majorBidi" w:hAnsiTheme="majorBidi" w:cstheme="majorBidi"/>
          <w:sz w:val="24"/>
          <w:szCs w:val="24"/>
        </w:rPr>
        <w:t xml:space="preserve"> were significantly associated with BMI (β= 1.47; CI: (0.36, 2.59), and WC (β= 0.43; CI: 0.02, 0.85) even after adjusting for total energy intake. There were no associations between other meals quality and body composition indices. Conclusion and significance: Our study showed that snacks quality but no other meals were associated with WC and BMI, and having fatty snacks was related to central and abdominal obesity among children.</w:t>
      </w:r>
    </w:p>
    <w:p w:rsidR="00F16194" w:rsidRDefault="00F16194" w:rsidP="00F16194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16194"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p w:rsidR="00F16194" w:rsidRPr="00EA6F92" w:rsidRDefault="00F16194" w:rsidP="00EA6F92">
      <w:pPr>
        <w:pStyle w:val="EndNoteBibliography"/>
        <w:numPr>
          <w:ilvl w:val="0"/>
          <w:numId w:val="2"/>
        </w:numPr>
        <w:spacing w:after="0" w:line="360" w:lineRule="auto"/>
        <w:jc w:val="left"/>
        <w:rPr>
          <w:rFonts w:asciiTheme="majorBidi" w:hAnsiTheme="majorBidi" w:cstheme="majorBidi"/>
          <w:sz w:val="24"/>
          <w:szCs w:val="24"/>
        </w:rPr>
      </w:pPr>
      <w:r w:rsidRPr="00EA6F92">
        <w:rPr>
          <w:rFonts w:asciiTheme="majorBidi" w:hAnsiTheme="majorBidi" w:cstheme="majorBidi"/>
          <w:sz w:val="24"/>
          <w:szCs w:val="24"/>
        </w:rPr>
        <w:t xml:space="preserve">Esmaili H, Bahreynian M, Qorbani M, Motlagh ME, Ardalan G, Heshmat R, et al. </w:t>
      </w:r>
      <w:r w:rsidR="003D2039">
        <w:rPr>
          <w:rFonts w:asciiTheme="majorBidi" w:hAnsiTheme="majorBidi" w:cstheme="majorBidi"/>
          <w:sz w:val="24"/>
          <w:szCs w:val="24"/>
        </w:rPr>
        <w:t xml:space="preserve">(2015) </w:t>
      </w:r>
      <w:r w:rsidRPr="00EA6F92">
        <w:rPr>
          <w:rFonts w:asciiTheme="majorBidi" w:hAnsiTheme="majorBidi" w:cstheme="majorBidi"/>
          <w:sz w:val="24"/>
          <w:szCs w:val="24"/>
        </w:rPr>
        <w:t>Prevalence of General and Abdominal Obesity in a Nationally Representative Sample of Iranian Children and Adolescents: The CASPIAN-IV Study. Irania</w:t>
      </w:r>
      <w:r w:rsidR="003D2039">
        <w:rPr>
          <w:rFonts w:asciiTheme="majorBidi" w:hAnsiTheme="majorBidi" w:cstheme="majorBidi"/>
          <w:sz w:val="24"/>
          <w:szCs w:val="24"/>
        </w:rPr>
        <w:t xml:space="preserve">n Journal of Pediatrics </w:t>
      </w:r>
      <w:r w:rsidRPr="00EA6F92">
        <w:rPr>
          <w:rFonts w:asciiTheme="majorBidi" w:hAnsiTheme="majorBidi" w:cstheme="majorBidi"/>
          <w:sz w:val="24"/>
          <w:szCs w:val="24"/>
        </w:rPr>
        <w:t>25</w:t>
      </w:r>
      <w:r w:rsidR="00EA6F92">
        <w:rPr>
          <w:rFonts w:asciiTheme="majorBidi" w:hAnsiTheme="majorBidi" w:cstheme="majorBidi"/>
          <w:sz w:val="24"/>
          <w:szCs w:val="24"/>
          <w:rtl/>
        </w:rPr>
        <w:t>)</w:t>
      </w:r>
      <w:r w:rsidR="00EA6F92">
        <w:rPr>
          <w:rFonts w:asciiTheme="majorBidi" w:hAnsiTheme="majorBidi" w:cstheme="majorBidi"/>
          <w:sz w:val="24"/>
          <w:szCs w:val="24"/>
        </w:rPr>
        <w:t>3)</w:t>
      </w:r>
    </w:p>
    <w:p w:rsidR="00EA6F92" w:rsidRPr="00EA6F92" w:rsidRDefault="00EA6F92" w:rsidP="00EA6F92">
      <w:pPr>
        <w:pStyle w:val="EndNoteBibliography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A6F92">
        <w:rPr>
          <w:rFonts w:asciiTheme="majorBidi" w:hAnsiTheme="majorBidi" w:cstheme="majorBidi"/>
          <w:sz w:val="24"/>
          <w:szCs w:val="24"/>
        </w:rPr>
        <w:lastRenderedPageBreak/>
        <w:t xml:space="preserve">Vik FN, Bjørnarå HB, Overby NC, Lien N, Androutsos O, Maes L, et al. </w:t>
      </w:r>
      <w:r w:rsidR="003D2039">
        <w:rPr>
          <w:rFonts w:asciiTheme="majorBidi" w:hAnsiTheme="majorBidi" w:cstheme="majorBidi"/>
          <w:sz w:val="24"/>
          <w:szCs w:val="24"/>
        </w:rPr>
        <w:t xml:space="preserve">(2013) </w:t>
      </w:r>
      <w:r w:rsidRPr="00EA6F92">
        <w:rPr>
          <w:rFonts w:asciiTheme="majorBidi" w:hAnsiTheme="majorBidi" w:cstheme="majorBidi"/>
          <w:sz w:val="24"/>
          <w:szCs w:val="24"/>
        </w:rPr>
        <w:t>Associations between eating meals, watching TV while eating meals and weight status among children, ages 10-12 years in eight European countries: the ENERGY cross-sectional study. The international journal of behavioral nutrit</w:t>
      </w:r>
      <w:r w:rsidR="003D2039">
        <w:rPr>
          <w:rFonts w:asciiTheme="majorBidi" w:hAnsiTheme="majorBidi" w:cstheme="majorBidi"/>
          <w:sz w:val="24"/>
          <w:szCs w:val="24"/>
        </w:rPr>
        <w:t xml:space="preserve">ion and physical activity. </w:t>
      </w:r>
      <w:r w:rsidRPr="00EA6F92">
        <w:rPr>
          <w:rFonts w:asciiTheme="majorBidi" w:hAnsiTheme="majorBidi" w:cstheme="majorBidi"/>
          <w:sz w:val="24"/>
          <w:szCs w:val="24"/>
        </w:rPr>
        <w:t>10:58</w:t>
      </w:r>
    </w:p>
    <w:p w:rsidR="00EA6F92" w:rsidRPr="00EA6F92" w:rsidRDefault="00EA6F92" w:rsidP="00EA6F92">
      <w:pPr>
        <w:pStyle w:val="EndNoteBibliography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A6F92">
        <w:rPr>
          <w:rFonts w:asciiTheme="majorBidi" w:hAnsiTheme="majorBidi" w:cstheme="majorBidi"/>
          <w:sz w:val="24"/>
          <w:szCs w:val="24"/>
        </w:rPr>
        <w:t xml:space="preserve">Larson NI, Miller JM, Watts AW, Story MT, Neumark-Sztainer DR. </w:t>
      </w:r>
      <w:r w:rsidR="003D2039">
        <w:rPr>
          <w:rFonts w:asciiTheme="majorBidi" w:hAnsiTheme="majorBidi" w:cstheme="majorBidi"/>
          <w:sz w:val="24"/>
          <w:szCs w:val="24"/>
        </w:rPr>
        <w:t xml:space="preserve">(2016) </w:t>
      </w:r>
      <w:r w:rsidRPr="00EA6F92">
        <w:rPr>
          <w:rFonts w:asciiTheme="majorBidi" w:hAnsiTheme="majorBidi" w:cstheme="majorBidi"/>
          <w:sz w:val="24"/>
          <w:szCs w:val="24"/>
        </w:rPr>
        <w:t>Adolescent Snacking Behaviors Are Associated</w:t>
      </w:r>
      <w:r w:rsidRPr="00EA6F92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A6F92">
        <w:rPr>
          <w:rFonts w:asciiTheme="majorBidi" w:hAnsiTheme="majorBidi" w:cstheme="majorBidi"/>
          <w:sz w:val="24"/>
          <w:szCs w:val="24"/>
        </w:rPr>
        <w:t>with Dietary Intake and Weight Status. T</w:t>
      </w:r>
      <w:r w:rsidR="003D2039">
        <w:rPr>
          <w:rFonts w:asciiTheme="majorBidi" w:hAnsiTheme="majorBidi" w:cstheme="majorBidi"/>
          <w:sz w:val="24"/>
          <w:szCs w:val="24"/>
        </w:rPr>
        <w:t xml:space="preserve">he Journal of nutrition </w:t>
      </w:r>
      <w:r w:rsidRPr="00EA6F92">
        <w:rPr>
          <w:rFonts w:asciiTheme="majorBidi" w:hAnsiTheme="majorBidi" w:cstheme="majorBidi"/>
          <w:sz w:val="24"/>
          <w:szCs w:val="24"/>
        </w:rPr>
        <w:t>jn230334</w:t>
      </w:r>
    </w:p>
    <w:p w:rsidR="00EA6F92" w:rsidRPr="00EA6F92" w:rsidRDefault="00EA6F92" w:rsidP="003D2039">
      <w:pPr>
        <w:pStyle w:val="EndNoteBibliography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A6F92">
        <w:rPr>
          <w:rFonts w:asciiTheme="majorBidi" w:hAnsiTheme="majorBidi" w:cstheme="majorBidi"/>
          <w:sz w:val="24"/>
          <w:szCs w:val="24"/>
        </w:rPr>
        <w:t xml:space="preserve">Santiago-Torres M, Adams AK, Carrel AL, Larowe TL, Schoeller DA. </w:t>
      </w:r>
      <w:r w:rsidR="003D2039">
        <w:rPr>
          <w:rFonts w:asciiTheme="majorBidi" w:hAnsiTheme="majorBidi" w:cstheme="majorBidi"/>
          <w:sz w:val="24"/>
          <w:szCs w:val="24"/>
        </w:rPr>
        <w:t xml:space="preserve">(2014) </w:t>
      </w:r>
      <w:r w:rsidRPr="00EA6F92">
        <w:rPr>
          <w:rFonts w:asciiTheme="majorBidi" w:hAnsiTheme="majorBidi" w:cstheme="majorBidi"/>
          <w:sz w:val="24"/>
          <w:szCs w:val="24"/>
        </w:rPr>
        <w:t>Home food availability, parental dietary intake, and familial eating habits influence the diet quality of urban hispanic ch</w:t>
      </w:r>
      <w:r w:rsidR="003D2039">
        <w:rPr>
          <w:rFonts w:asciiTheme="majorBidi" w:hAnsiTheme="majorBidi" w:cstheme="majorBidi"/>
          <w:sz w:val="24"/>
          <w:szCs w:val="24"/>
        </w:rPr>
        <w:t>ildren. Childhood Obesity 10(5):408-15</w:t>
      </w:r>
    </w:p>
    <w:p w:rsidR="00EA6F92" w:rsidRPr="00EA6F92" w:rsidRDefault="00EA6F92" w:rsidP="00EA6F92">
      <w:pPr>
        <w:pStyle w:val="EndNoteBibliography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EA6F92">
        <w:rPr>
          <w:rFonts w:asciiTheme="majorBidi" w:hAnsiTheme="majorBidi" w:cstheme="majorBidi"/>
          <w:sz w:val="24"/>
          <w:szCs w:val="24"/>
        </w:rPr>
        <w:t xml:space="preserve">Dubois L, Farmer A, Girard M, Peterson K. </w:t>
      </w:r>
      <w:r w:rsidR="003D2039">
        <w:rPr>
          <w:rFonts w:asciiTheme="majorBidi" w:hAnsiTheme="majorBidi" w:cstheme="majorBidi"/>
          <w:sz w:val="24"/>
          <w:szCs w:val="24"/>
        </w:rPr>
        <w:t xml:space="preserve">(2008) </w:t>
      </w:r>
      <w:r w:rsidRPr="00EA6F92">
        <w:rPr>
          <w:rFonts w:asciiTheme="majorBidi" w:hAnsiTheme="majorBidi" w:cstheme="majorBidi"/>
          <w:sz w:val="24"/>
          <w:szCs w:val="24"/>
        </w:rPr>
        <w:t>Social factors and television use during meals and snacks is associated with higher BMI among pre-school children. Pu</w:t>
      </w:r>
      <w:r w:rsidR="003D2039">
        <w:rPr>
          <w:rFonts w:asciiTheme="majorBidi" w:hAnsiTheme="majorBidi" w:cstheme="majorBidi"/>
          <w:sz w:val="24"/>
          <w:szCs w:val="24"/>
        </w:rPr>
        <w:t>blic health nutrition 11(12):1267-7</w:t>
      </w:r>
      <w:bookmarkStart w:id="0" w:name="_GoBack"/>
      <w:bookmarkEnd w:id="0"/>
    </w:p>
    <w:p w:rsidR="00483C20" w:rsidRPr="00EA6F92" w:rsidRDefault="00483C20" w:rsidP="00EA6F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483C20" w:rsidRPr="00112946" w:rsidRDefault="00483C20" w:rsidP="00483C20">
      <w:pPr>
        <w:spacing w:after="120" w:line="360" w:lineRule="auto"/>
        <w:rPr>
          <w:rFonts w:asciiTheme="minorBidi" w:hAnsiTheme="minorBidi"/>
          <w:b/>
          <w:bCs/>
          <w:sz w:val="20"/>
          <w:szCs w:val="20"/>
        </w:rPr>
      </w:pPr>
    </w:p>
    <w:p w:rsidR="006851CA" w:rsidRPr="00112946" w:rsidRDefault="006851CA" w:rsidP="00112946">
      <w:pPr>
        <w:spacing w:line="360" w:lineRule="auto"/>
        <w:rPr>
          <w:rFonts w:asciiTheme="minorBidi" w:hAnsiTheme="minorBidi"/>
          <w:b/>
          <w:bCs/>
          <w:sz w:val="20"/>
          <w:szCs w:val="20"/>
        </w:rPr>
      </w:pPr>
    </w:p>
    <w:p w:rsidR="00103C29" w:rsidRPr="00056552" w:rsidRDefault="00103C29" w:rsidP="00524C1F">
      <w:pPr>
        <w:spacing w:line="360" w:lineRule="auto"/>
        <w:rPr>
          <w:rFonts w:asciiTheme="majorBidi" w:hAnsiTheme="majorBidi" w:cstheme="majorBidi"/>
          <w:b/>
          <w:bCs/>
          <w:sz w:val="23"/>
          <w:szCs w:val="23"/>
        </w:rPr>
      </w:pPr>
    </w:p>
    <w:sectPr w:rsidR="00103C29" w:rsidRPr="00056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5116"/>
    <w:multiLevelType w:val="hybridMultilevel"/>
    <w:tmpl w:val="56D6B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C5E17"/>
    <w:multiLevelType w:val="hybridMultilevel"/>
    <w:tmpl w:val="430C9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U0MjCzMDG2sDAzNLBU0lEKTi0uzszPAykwqgUABVw1hiwAAAA="/>
  </w:docVars>
  <w:rsids>
    <w:rsidRoot w:val="0016146C"/>
    <w:rsid w:val="000009C4"/>
    <w:rsid w:val="00010EE2"/>
    <w:rsid w:val="00015102"/>
    <w:rsid w:val="0001524A"/>
    <w:rsid w:val="000422D7"/>
    <w:rsid w:val="0007125F"/>
    <w:rsid w:val="00094201"/>
    <w:rsid w:val="00094C2C"/>
    <w:rsid w:val="000B3495"/>
    <w:rsid w:val="00103C29"/>
    <w:rsid w:val="00112946"/>
    <w:rsid w:val="0011602C"/>
    <w:rsid w:val="001408BD"/>
    <w:rsid w:val="0016146C"/>
    <w:rsid w:val="001640C3"/>
    <w:rsid w:val="00167ED1"/>
    <w:rsid w:val="001A1312"/>
    <w:rsid w:val="001B43A4"/>
    <w:rsid w:val="001B7156"/>
    <w:rsid w:val="001D7CB3"/>
    <w:rsid w:val="001E7833"/>
    <w:rsid w:val="001F536F"/>
    <w:rsid w:val="00242BD5"/>
    <w:rsid w:val="0028705C"/>
    <w:rsid w:val="00294A2E"/>
    <w:rsid w:val="002A6228"/>
    <w:rsid w:val="002A7544"/>
    <w:rsid w:val="002B24A7"/>
    <w:rsid w:val="002C621C"/>
    <w:rsid w:val="002D117A"/>
    <w:rsid w:val="002E76AC"/>
    <w:rsid w:val="002F7EE2"/>
    <w:rsid w:val="00343B9C"/>
    <w:rsid w:val="00350DF5"/>
    <w:rsid w:val="00352B1E"/>
    <w:rsid w:val="00392EC0"/>
    <w:rsid w:val="003967EC"/>
    <w:rsid w:val="003B4FF8"/>
    <w:rsid w:val="003C471F"/>
    <w:rsid w:val="003C63A4"/>
    <w:rsid w:val="003D2039"/>
    <w:rsid w:val="003E6354"/>
    <w:rsid w:val="00400B8E"/>
    <w:rsid w:val="00401BCF"/>
    <w:rsid w:val="004133D2"/>
    <w:rsid w:val="00425C7A"/>
    <w:rsid w:val="004403A5"/>
    <w:rsid w:val="00450FE6"/>
    <w:rsid w:val="0047401D"/>
    <w:rsid w:val="00480BFE"/>
    <w:rsid w:val="00483C20"/>
    <w:rsid w:val="004A5D7C"/>
    <w:rsid w:val="004F5EFC"/>
    <w:rsid w:val="005172A0"/>
    <w:rsid w:val="005242B4"/>
    <w:rsid w:val="00524C1F"/>
    <w:rsid w:val="00536F33"/>
    <w:rsid w:val="005438B4"/>
    <w:rsid w:val="00567A23"/>
    <w:rsid w:val="005864CC"/>
    <w:rsid w:val="005A3C64"/>
    <w:rsid w:val="005A52CF"/>
    <w:rsid w:val="005F6C35"/>
    <w:rsid w:val="00600856"/>
    <w:rsid w:val="00644D6D"/>
    <w:rsid w:val="00662635"/>
    <w:rsid w:val="00677A4E"/>
    <w:rsid w:val="006851CA"/>
    <w:rsid w:val="00696FE8"/>
    <w:rsid w:val="006A5287"/>
    <w:rsid w:val="006D6A62"/>
    <w:rsid w:val="00716307"/>
    <w:rsid w:val="00772CE0"/>
    <w:rsid w:val="00777F41"/>
    <w:rsid w:val="007811E8"/>
    <w:rsid w:val="007840EB"/>
    <w:rsid w:val="0078544D"/>
    <w:rsid w:val="00795C40"/>
    <w:rsid w:val="00795EFB"/>
    <w:rsid w:val="007C60A2"/>
    <w:rsid w:val="007D1087"/>
    <w:rsid w:val="007F2DE3"/>
    <w:rsid w:val="00817D8E"/>
    <w:rsid w:val="008609A2"/>
    <w:rsid w:val="00881F40"/>
    <w:rsid w:val="00887847"/>
    <w:rsid w:val="008A0ACA"/>
    <w:rsid w:val="008B11DC"/>
    <w:rsid w:val="008B127F"/>
    <w:rsid w:val="008C1488"/>
    <w:rsid w:val="008C6B24"/>
    <w:rsid w:val="008D0932"/>
    <w:rsid w:val="008D0E7A"/>
    <w:rsid w:val="008E60DD"/>
    <w:rsid w:val="00902929"/>
    <w:rsid w:val="00907ABE"/>
    <w:rsid w:val="009833A6"/>
    <w:rsid w:val="009A7752"/>
    <w:rsid w:val="009B672D"/>
    <w:rsid w:val="009C21B8"/>
    <w:rsid w:val="009C47C0"/>
    <w:rsid w:val="009D53DF"/>
    <w:rsid w:val="009E336F"/>
    <w:rsid w:val="009F1B64"/>
    <w:rsid w:val="009F38B6"/>
    <w:rsid w:val="00A01599"/>
    <w:rsid w:val="00A06B6D"/>
    <w:rsid w:val="00A14F9C"/>
    <w:rsid w:val="00A33EF5"/>
    <w:rsid w:val="00A507EB"/>
    <w:rsid w:val="00A543C2"/>
    <w:rsid w:val="00A70D2F"/>
    <w:rsid w:val="00A76B96"/>
    <w:rsid w:val="00A93005"/>
    <w:rsid w:val="00A9373D"/>
    <w:rsid w:val="00AA5730"/>
    <w:rsid w:val="00AA77BD"/>
    <w:rsid w:val="00AB5EF5"/>
    <w:rsid w:val="00AC29D7"/>
    <w:rsid w:val="00AE4F9B"/>
    <w:rsid w:val="00B05A02"/>
    <w:rsid w:val="00B157F0"/>
    <w:rsid w:val="00B27BBD"/>
    <w:rsid w:val="00B76176"/>
    <w:rsid w:val="00B80A3C"/>
    <w:rsid w:val="00BA08F0"/>
    <w:rsid w:val="00BB1EDA"/>
    <w:rsid w:val="00BC3CE2"/>
    <w:rsid w:val="00BD56FC"/>
    <w:rsid w:val="00BE6915"/>
    <w:rsid w:val="00BF04DD"/>
    <w:rsid w:val="00C069EF"/>
    <w:rsid w:val="00C07FF8"/>
    <w:rsid w:val="00C701E4"/>
    <w:rsid w:val="00CA055C"/>
    <w:rsid w:val="00CD379B"/>
    <w:rsid w:val="00CE6A8E"/>
    <w:rsid w:val="00D034C0"/>
    <w:rsid w:val="00D05B2C"/>
    <w:rsid w:val="00D24425"/>
    <w:rsid w:val="00D3124E"/>
    <w:rsid w:val="00D34BEA"/>
    <w:rsid w:val="00D41B3A"/>
    <w:rsid w:val="00D765E7"/>
    <w:rsid w:val="00D76A06"/>
    <w:rsid w:val="00D8378A"/>
    <w:rsid w:val="00D87DD7"/>
    <w:rsid w:val="00D93215"/>
    <w:rsid w:val="00DB0282"/>
    <w:rsid w:val="00DB7C2E"/>
    <w:rsid w:val="00DC0A7E"/>
    <w:rsid w:val="00DC612E"/>
    <w:rsid w:val="00DE264F"/>
    <w:rsid w:val="00DE373A"/>
    <w:rsid w:val="00DE46C2"/>
    <w:rsid w:val="00E05354"/>
    <w:rsid w:val="00E25A40"/>
    <w:rsid w:val="00E33624"/>
    <w:rsid w:val="00E3509B"/>
    <w:rsid w:val="00E40D8D"/>
    <w:rsid w:val="00E7081F"/>
    <w:rsid w:val="00E72749"/>
    <w:rsid w:val="00E85DC4"/>
    <w:rsid w:val="00EA2E9D"/>
    <w:rsid w:val="00EA6F92"/>
    <w:rsid w:val="00EB3F88"/>
    <w:rsid w:val="00EC0E7E"/>
    <w:rsid w:val="00EC4A69"/>
    <w:rsid w:val="00ED6597"/>
    <w:rsid w:val="00EE7846"/>
    <w:rsid w:val="00EF132F"/>
    <w:rsid w:val="00EF4A56"/>
    <w:rsid w:val="00F16194"/>
    <w:rsid w:val="00F16536"/>
    <w:rsid w:val="00F26F65"/>
    <w:rsid w:val="00F6047A"/>
    <w:rsid w:val="00F60F54"/>
    <w:rsid w:val="00F7035E"/>
    <w:rsid w:val="00F77E10"/>
    <w:rsid w:val="00F81A00"/>
    <w:rsid w:val="00FA3399"/>
    <w:rsid w:val="00FA4624"/>
    <w:rsid w:val="00FB10C0"/>
    <w:rsid w:val="00FD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3C29"/>
    <w:rPr>
      <w:b/>
      <w:bCs/>
    </w:rPr>
  </w:style>
  <w:style w:type="character" w:customStyle="1" w:styleId="hps">
    <w:name w:val="hps"/>
    <w:basedOn w:val="DefaultParagraphFont"/>
    <w:rsid w:val="0078544D"/>
  </w:style>
  <w:style w:type="paragraph" w:styleId="ListParagraph">
    <w:name w:val="List Paragraph"/>
    <w:basedOn w:val="Normal"/>
    <w:uiPriority w:val="34"/>
    <w:qFormat/>
    <w:rsid w:val="00F16194"/>
    <w:pPr>
      <w:ind w:left="720"/>
      <w:contextualSpacing/>
    </w:pPr>
  </w:style>
  <w:style w:type="character" w:customStyle="1" w:styleId="EndNoteBibliographyChar">
    <w:name w:val="EndNote Bibliography Char"/>
    <w:basedOn w:val="DefaultParagraphFont"/>
    <w:link w:val="EndNoteBibliography"/>
    <w:locked/>
    <w:rsid w:val="00F1619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16194"/>
    <w:pPr>
      <w:spacing w:line="240" w:lineRule="auto"/>
      <w:jc w:val="both"/>
    </w:pPr>
    <w:rPr>
      <w:rFonts w:ascii="Calibri" w:hAnsi="Calibri" w:cs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3C29"/>
    <w:rPr>
      <w:b/>
      <w:bCs/>
    </w:rPr>
  </w:style>
  <w:style w:type="character" w:customStyle="1" w:styleId="hps">
    <w:name w:val="hps"/>
    <w:basedOn w:val="DefaultParagraphFont"/>
    <w:rsid w:val="0078544D"/>
  </w:style>
  <w:style w:type="paragraph" w:styleId="ListParagraph">
    <w:name w:val="List Paragraph"/>
    <w:basedOn w:val="Normal"/>
    <w:uiPriority w:val="34"/>
    <w:qFormat/>
    <w:rsid w:val="00F16194"/>
    <w:pPr>
      <w:ind w:left="720"/>
      <w:contextualSpacing/>
    </w:pPr>
  </w:style>
  <w:style w:type="character" w:customStyle="1" w:styleId="EndNoteBibliographyChar">
    <w:name w:val="EndNote Bibliography Char"/>
    <w:basedOn w:val="DefaultParagraphFont"/>
    <w:link w:val="EndNoteBibliography"/>
    <w:locked/>
    <w:rsid w:val="00F1619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16194"/>
    <w:pPr>
      <w:spacing w:line="240" w:lineRule="auto"/>
      <w:jc w:val="both"/>
    </w:pPr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Dear User!</cp:lastModifiedBy>
  <cp:revision>9</cp:revision>
  <cp:lastPrinted>2016-08-17T15:31:00Z</cp:lastPrinted>
  <dcterms:created xsi:type="dcterms:W3CDTF">2016-12-18T08:38:00Z</dcterms:created>
  <dcterms:modified xsi:type="dcterms:W3CDTF">2017-02-13T18:29:00Z</dcterms:modified>
</cp:coreProperties>
</file>