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644" w:rsidRDefault="00550644" w:rsidP="00550644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Abstract</w:t>
      </w:r>
    </w:p>
    <w:p w:rsidR="00477FB5" w:rsidRDefault="00477FB5" w:rsidP="00477FB5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sz w:val="40"/>
          <w:szCs w:val="40"/>
        </w:rPr>
        <w:t>Molecular Characterization of CTX-M Beta-</w:t>
      </w:r>
      <w:proofErr w:type="spellStart"/>
      <w:r>
        <w:rPr>
          <w:rFonts w:asciiTheme="majorBidi" w:hAnsiTheme="majorBidi" w:cstheme="majorBidi"/>
          <w:sz w:val="40"/>
          <w:szCs w:val="40"/>
        </w:rPr>
        <w:t>Lactamases</w:t>
      </w:r>
      <w:proofErr w:type="spellEnd"/>
      <w:r>
        <w:rPr>
          <w:rFonts w:asciiTheme="majorBidi" w:hAnsiTheme="majorBidi" w:cstheme="majorBidi"/>
          <w:sz w:val="40"/>
          <w:szCs w:val="40"/>
        </w:rPr>
        <w:t xml:space="preserve"> Genes among</w:t>
      </w:r>
      <w:r>
        <w:rPr>
          <w:rFonts w:asciiTheme="majorBidi" w:hAnsiTheme="majorBidi" w:cstheme="majorBidi"/>
          <w:sz w:val="40"/>
          <w:szCs w:val="40"/>
          <w:rtl/>
        </w:rPr>
        <w:t xml:space="preserve"> </w:t>
      </w:r>
      <w:r>
        <w:rPr>
          <w:rFonts w:asciiTheme="majorBidi" w:hAnsiTheme="majorBidi" w:cstheme="majorBidi"/>
          <w:sz w:val="40"/>
          <w:szCs w:val="40"/>
        </w:rPr>
        <w:t xml:space="preserve">Pathogenic </w:t>
      </w:r>
      <w:r>
        <w:rPr>
          <w:rFonts w:asciiTheme="majorBidi" w:hAnsiTheme="majorBidi" w:cstheme="majorBidi"/>
          <w:i/>
          <w:iCs/>
          <w:sz w:val="40"/>
          <w:szCs w:val="40"/>
        </w:rPr>
        <w:t>Enterobacteriaceae</w:t>
      </w:r>
      <w:r>
        <w:rPr>
          <w:rFonts w:asciiTheme="majorBidi" w:hAnsiTheme="majorBidi" w:cstheme="majorBidi"/>
          <w:sz w:val="40"/>
          <w:szCs w:val="40"/>
        </w:rPr>
        <w:t xml:space="preserve"> isolated from different regions in Sudan</w:t>
      </w:r>
    </w:p>
    <w:p w:rsidR="00550644" w:rsidRDefault="00550644" w:rsidP="00550644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550644" w:rsidRDefault="00550644" w:rsidP="00550644">
      <w:pPr>
        <w:autoSpaceDE w:val="0"/>
        <w:autoSpaceDN w:val="0"/>
        <w:adjustRightInd w:val="0"/>
        <w:spacing w:before="24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Antimicrobial resistance is becoming a chronic problem in the therapeutic intervention of infections. Production of ESBLs is a common mechanism of resistance among Gram negative bacilli.</w:t>
      </w:r>
    </w:p>
    <w:p w:rsidR="00550644" w:rsidRDefault="00550644" w:rsidP="00550644">
      <w:pPr>
        <w:autoSpaceDE w:val="0"/>
        <w:autoSpaceDN w:val="0"/>
        <w:adjustRightInd w:val="0"/>
        <w:spacing w:before="240"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We detect and characterized CTX-M subgroups and genotype among extended spectrum β-</w:t>
      </w:r>
      <w:proofErr w:type="spellStart"/>
      <w:r>
        <w:rPr>
          <w:rFonts w:asciiTheme="majorBidi" w:hAnsiTheme="majorBidi" w:cstheme="majorBidi"/>
          <w:sz w:val="24"/>
          <w:szCs w:val="24"/>
        </w:rPr>
        <w:t>lactamases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(ESBLs) producing </w:t>
      </w:r>
      <w:r>
        <w:rPr>
          <w:rFonts w:asciiTheme="majorBidi" w:hAnsiTheme="majorBidi" w:cstheme="majorBidi"/>
          <w:i/>
          <w:iCs/>
          <w:sz w:val="24"/>
          <w:szCs w:val="24"/>
        </w:rPr>
        <w:t>Enterobacteriaceae</w:t>
      </w:r>
      <w:r>
        <w:rPr>
          <w:rFonts w:asciiTheme="majorBidi" w:hAnsiTheme="majorBidi" w:cstheme="majorBidi"/>
          <w:sz w:val="24"/>
          <w:szCs w:val="24"/>
        </w:rPr>
        <w:t xml:space="preserve"> isolated from different regions in Sudan.  The presence of CTX-M genes and CTX-M subgroups were screened by PCR and confirmed by DNA 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sequencing. </w:t>
      </w:r>
      <w:r>
        <w:rPr>
          <w:rFonts w:asciiTheme="majorBidi" w:eastAsia="MinionPro-Regular" w:hAnsiTheme="majorBidi" w:cstheme="majorBidi"/>
          <w:sz w:val="24"/>
          <w:szCs w:val="24"/>
        </w:rPr>
        <w:t>Around forty two percent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(128/305) of all isolate were positive for ESBLs production by phenotypic test, with a higher percentage in Khartoum state 64% (23/36) followed by Gizera state 54% (54/100), Sinnar state 53% (49/92) and White Nile state 2.6% (2/77). CTX-M group 1 was the most predominant one </w:t>
      </w:r>
      <w:r>
        <w:rPr>
          <w:rFonts w:asciiTheme="majorBidi" w:hAnsiTheme="majorBidi" w:cstheme="majorBidi"/>
          <w:sz w:val="24"/>
          <w:szCs w:val="24"/>
        </w:rPr>
        <w:t>97.9% (94/96), followed by CTX-M group III 12.5% (12/96), CTX-M group IV 10.4% (10/96) and CTX-M group II 5.2% (5/96).</w:t>
      </w:r>
      <w:r>
        <w:rPr>
          <w:rFonts w:asciiTheme="majorBidi" w:eastAsia="MinionPro-Regular" w:hAnsiTheme="majorBidi" w:cstheme="majorBidi"/>
          <w:sz w:val="24"/>
          <w:szCs w:val="24"/>
        </w:rPr>
        <w:t xml:space="preserve"> </w:t>
      </w:r>
      <w:r>
        <w:rPr>
          <w:rFonts w:asciiTheme="majorBidi" w:eastAsia="MinionMath-Regular" w:hAnsiTheme="majorBidi" w:cstheme="majorBidi"/>
          <w:sz w:val="24"/>
          <w:szCs w:val="24"/>
        </w:rPr>
        <w:t xml:space="preserve">CTX-M-15 </w:t>
      </w:r>
      <w:proofErr w:type="gramStart"/>
      <w:r>
        <w:rPr>
          <w:rFonts w:asciiTheme="majorBidi" w:eastAsia="MinionMath-Regular" w:hAnsiTheme="majorBidi" w:cstheme="majorBidi"/>
          <w:sz w:val="24"/>
          <w:szCs w:val="24"/>
        </w:rPr>
        <w:t>represent</w:t>
      </w:r>
      <w:proofErr w:type="gramEnd"/>
      <w:r>
        <w:rPr>
          <w:rFonts w:asciiTheme="majorBidi" w:eastAsia="MinionMath-Capt" w:hAnsiTheme="majorBidi" w:cstheme="majorBidi"/>
          <w:sz w:val="24"/>
          <w:szCs w:val="24"/>
        </w:rPr>
        <w:t xml:space="preserve"> </w:t>
      </w:r>
      <w:r>
        <w:rPr>
          <w:rFonts w:asciiTheme="majorBidi" w:eastAsia="MinionPro-Regular" w:hAnsiTheme="majorBidi" w:cstheme="majorBidi"/>
          <w:sz w:val="24"/>
          <w:szCs w:val="24"/>
        </w:rPr>
        <w:t>78.3% (18/23), followed by CTX-M-14</w:t>
      </w:r>
      <w:r>
        <w:rPr>
          <w:rFonts w:asciiTheme="majorBidi" w:hAnsiTheme="majorBidi" w:cstheme="majorBidi"/>
          <w:sz w:val="24"/>
          <w:szCs w:val="24"/>
        </w:rPr>
        <w:t xml:space="preserve"> 13% (3/23), CTX-M-27 4.3% (1/23) and CTX-M-98 4.3% (1/23).</w:t>
      </w:r>
      <w:bookmarkStart w:id="0" w:name="article1.front1.article-meta1.abstract1."/>
      <w:bookmarkEnd w:id="0"/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We conclude that CTX-M group 1 and CTX-M-15 were the most commonly encountered. </w:t>
      </w:r>
    </w:p>
    <w:p w:rsidR="00957D48" w:rsidRDefault="00957D48"/>
    <w:sectPr w:rsidR="00957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inionMath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ionMath-Capt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550644"/>
    <w:rsid w:val="00477FB5"/>
    <w:rsid w:val="00550644"/>
    <w:rsid w:val="0095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2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2016-07-30T19:55:00Z</dcterms:created>
  <dcterms:modified xsi:type="dcterms:W3CDTF">2016-07-30T19:56:00Z</dcterms:modified>
</cp:coreProperties>
</file>