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2C8" w:rsidRPr="006F566C" w:rsidRDefault="005B62C8" w:rsidP="005B62C8">
      <w:pPr>
        <w:jc w:val="center"/>
        <w:rPr>
          <w:b/>
          <w:bCs/>
          <w:sz w:val="28"/>
          <w:szCs w:val="28"/>
          <w:lang w:val="en-US"/>
        </w:rPr>
      </w:pPr>
      <w:r>
        <w:rPr>
          <w:b/>
          <w:bCs/>
          <w:sz w:val="28"/>
          <w:szCs w:val="28"/>
          <w:lang w:val="en-US"/>
        </w:rPr>
        <w:t>T</w:t>
      </w:r>
      <w:r w:rsidRPr="00004759">
        <w:rPr>
          <w:b/>
          <w:bCs/>
          <w:sz w:val="28"/>
          <w:szCs w:val="28"/>
          <w:lang w:val="en-US"/>
        </w:rPr>
        <w:t>hermal energy storage with</w:t>
      </w:r>
      <w:r>
        <w:rPr>
          <w:b/>
          <w:bCs/>
          <w:sz w:val="28"/>
          <w:szCs w:val="28"/>
          <w:lang w:val="en-US"/>
        </w:rPr>
        <w:t xml:space="preserve"> thermochemical reaction</w:t>
      </w:r>
      <w:r w:rsidRPr="00004759">
        <w:rPr>
          <w:b/>
          <w:bCs/>
          <w:sz w:val="28"/>
          <w:szCs w:val="28"/>
          <w:lang w:val="en-US"/>
        </w:rPr>
        <w:t>:</w:t>
      </w:r>
      <w:r>
        <w:rPr>
          <w:b/>
          <w:bCs/>
          <w:sz w:val="28"/>
          <w:szCs w:val="28"/>
          <w:lang w:val="en-US"/>
        </w:rPr>
        <w:t xml:space="preserve"> Inorganic hydrates Salts Synthesis and thermal behaviors investigations</w:t>
      </w:r>
    </w:p>
    <w:p w:rsidR="005B62C8" w:rsidRPr="007F2E72" w:rsidRDefault="005B62C8" w:rsidP="005B62C8">
      <w:pPr>
        <w:pStyle w:val="ZeoAuthors"/>
        <w:jc w:val="center"/>
        <w:rPr>
          <w:b w:val="0"/>
        </w:rPr>
      </w:pPr>
      <w:r>
        <w:rPr>
          <w:b w:val="0"/>
        </w:rPr>
        <w:t xml:space="preserve">H. </w:t>
      </w:r>
      <w:r w:rsidRPr="007F2E72">
        <w:rPr>
          <w:b w:val="0"/>
        </w:rPr>
        <w:t>AÏT OUSALEH</w:t>
      </w:r>
      <w:r w:rsidRPr="007F2E72">
        <w:rPr>
          <w:b w:val="0"/>
          <w:vertAlign w:val="superscript"/>
        </w:rPr>
        <w:t>a*</w:t>
      </w:r>
      <w:r w:rsidRPr="007F2E72">
        <w:rPr>
          <w:b w:val="0"/>
        </w:rPr>
        <w:t xml:space="preserve">, </w:t>
      </w:r>
      <w:r>
        <w:rPr>
          <w:b w:val="0"/>
        </w:rPr>
        <w:t xml:space="preserve">A. </w:t>
      </w:r>
      <w:r w:rsidRPr="007F2E72">
        <w:rPr>
          <w:b w:val="0"/>
        </w:rPr>
        <w:t>ZAKI</w:t>
      </w:r>
      <w:r w:rsidRPr="007F2E72">
        <w:rPr>
          <w:b w:val="0"/>
          <w:vertAlign w:val="superscript"/>
        </w:rPr>
        <w:t>b</w:t>
      </w:r>
      <w:r>
        <w:rPr>
          <w:b w:val="0"/>
        </w:rPr>
        <w:t>, A.</w:t>
      </w:r>
      <w:r w:rsidRPr="007F2E72">
        <w:rPr>
          <w:b w:val="0"/>
        </w:rPr>
        <w:t xml:space="preserve"> </w:t>
      </w:r>
      <w:proofErr w:type="gramStart"/>
      <w:r w:rsidRPr="007F2E72">
        <w:rPr>
          <w:b w:val="0"/>
        </w:rPr>
        <w:t>FAIK</w:t>
      </w:r>
      <w:r w:rsidRPr="007F2E72">
        <w:rPr>
          <w:b w:val="0"/>
          <w:vertAlign w:val="superscript"/>
        </w:rPr>
        <w:t xml:space="preserve">b </w:t>
      </w:r>
      <w:r w:rsidRPr="007F2E72">
        <w:rPr>
          <w:b w:val="0"/>
        </w:rPr>
        <w:t>,</w:t>
      </w:r>
      <w:proofErr w:type="gramEnd"/>
      <w:r w:rsidRPr="007F2E72">
        <w:rPr>
          <w:b w:val="0"/>
        </w:rPr>
        <w:t xml:space="preserve"> </w:t>
      </w:r>
      <w:r>
        <w:rPr>
          <w:b w:val="0"/>
        </w:rPr>
        <w:t xml:space="preserve">A. </w:t>
      </w:r>
      <w:r w:rsidRPr="007F2E72">
        <w:rPr>
          <w:b w:val="0"/>
        </w:rPr>
        <w:t>EL BOUARI</w:t>
      </w:r>
      <w:r w:rsidRPr="007F2E72">
        <w:rPr>
          <w:b w:val="0"/>
          <w:vertAlign w:val="superscript"/>
        </w:rPr>
        <w:t>a</w:t>
      </w:r>
      <w:r w:rsidRPr="007F2E72">
        <w:rPr>
          <w:b w:val="0"/>
        </w:rPr>
        <w:t>.</w:t>
      </w:r>
    </w:p>
    <w:p w:rsidR="005B62C8" w:rsidRPr="005B62C8" w:rsidRDefault="005B62C8" w:rsidP="005B62C8">
      <w:pPr>
        <w:jc w:val="center"/>
        <w:rPr>
          <w:sz w:val="20"/>
          <w:szCs w:val="20"/>
          <w:lang w:val="en-US"/>
        </w:rPr>
      </w:pPr>
      <w:proofErr w:type="gramStart"/>
      <w:r w:rsidRPr="005B62C8">
        <w:rPr>
          <w:sz w:val="20"/>
          <w:szCs w:val="20"/>
          <w:vertAlign w:val="superscript"/>
          <w:lang w:val="en-US"/>
        </w:rPr>
        <w:t>a</w:t>
      </w:r>
      <w:proofErr w:type="gramEnd"/>
      <w:r w:rsidRPr="005B62C8">
        <w:rPr>
          <w:sz w:val="20"/>
          <w:szCs w:val="20"/>
          <w:vertAlign w:val="superscript"/>
          <w:lang w:val="en-US"/>
        </w:rPr>
        <w:t xml:space="preserve"> </w:t>
      </w:r>
      <w:r w:rsidRPr="005B62C8">
        <w:rPr>
          <w:sz w:val="20"/>
          <w:szCs w:val="20"/>
          <w:lang w:val="en-US"/>
        </w:rPr>
        <w:t xml:space="preserve">Laboratory physical-chemistry of applied Materials  (LPCMA), Faculty of Sciences Ben </w:t>
      </w:r>
      <w:proofErr w:type="spellStart"/>
      <w:r w:rsidRPr="005B62C8">
        <w:rPr>
          <w:sz w:val="20"/>
          <w:szCs w:val="20"/>
          <w:lang w:val="en-US"/>
        </w:rPr>
        <w:t>M’sik</w:t>
      </w:r>
      <w:proofErr w:type="spellEnd"/>
      <w:r w:rsidRPr="005B62C8">
        <w:rPr>
          <w:sz w:val="20"/>
          <w:szCs w:val="20"/>
          <w:lang w:val="en-US"/>
        </w:rPr>
        <w:t xml:space="preserve"> ,University Hassan II of CASABLANCA, Morocco</w:t>
      </w:r>
    </w:p>
    <w:p w:rsidR="005B62C8" w:rsidRDefault="005B62C8" w:rsidP="005B62C8">
      <w:pPr>
        <w:jc w:val="center"/>
        <w:rPr>
          <w:sz w:val="20"/>
          <w:szCs w:val="20"/>
        </w:rPr>
      </w:pPr>
      <w:proofErr w:type="gramStart"/>
      <w:r w:rsidRPr="007F2E72">
        <w:rPr>
          <w:sz w:val="20"/>
          <w:szCs w:val="20"/>
          <w:vertAlign w:val="superscript"/>
        </w:rPr>
        <w:t>b</w:t>
      </w:r>
      <w:proofErr w:type="gramEnd"/>
      <w:r w:rsidRPr="007F2E72">
        <w:rPr>
          <w:sz w:val="20"/>
          <w:szCs w:val="20"/>
        </w:rPr>
        <w:t xml:space="preserve"> CIC </w:t>
      </w:r>
      <w:proofErr w:type="spellStart"/>
      <w:r w:rsidRPr="007F2E72">
        <w:rPr>
          <w:sz w:val="20"/>
          <w:szCs w:val="20"/>
        </w:rPr>
        <w:t>Energigune</w:t>
      </w:r>
      <w:proofErr w:type="spellEnd"/>
      <w:r w:rsidRPr="007F2E72">
        <w:rPr>
          <w:sz w:val="20"/>
          <w:szCs w:val="20"/>
        </w:rPr>
        <w:t xml:space="preserve">, Albert Einstein 48, </w:t>
      </w:r>
      <w:proofErr w:type="spellStart"/>
      <w:r w:rsidRPr="007F2E72">
        <w:rPr>
          <w:sz w:val="20"/>
          <w:szCs w:val="20"/>
        </w:rPr>
        <w:t>Miñano</w:t>
      </w:r>
      <w:proofErr w:type="spellEnd"/>
      <w:r w:rsidRPr="007F2E72">
        <w:rPr>
          <w:sz w:val="20"/>
          <w:szCs w:val="20"/>
        </w:rPr>
        <w:t xml:space="preserve">, </w:t>
      </w:r>
      <w:proofErr w:type="spellStart"/>
      <w:r w:rsidRPr="007F2E72">
        <w:rPr>
          <w:sz w:val="20"/>
          <w:szCs w:val="20"/>
        </w:rPr>
        <w:t>Álava</w:t>
      </w:r>
      <w:proofErr w:type="spellEnd"/>
      <w:r w:rsidRPr="007F2E72">
        <w:rPr>
          <w:sz w:val="20"/>
          <w:szCs w:val="20"/>
        </w:rPr>
        <w:t xml:space="preserve"> 01510, Spain</w:t>
      </w:r>
    </w:p>
    <w:p w:rsidR="005B62C8" w:rsidRPr="005B62C8" w:rsidRDefault="005B62C8" w:rsidP="005B62C8">
      <w:pPr>
        <w:jc w:val="center"/>
        <w:rPr>
          <w:sz w:val="20"/>
          <w:szCs w:val="20"/>
        </w:rPr>
      </w:pPr>
      <w:r>
        <w:rPr>
          <w:sz w:val="20"/>
          <w:szCs w:val="20"/>
        </w:rPr>
        <w:t>Email : nane.aosh@gmail.com</w:t>
      </w:r>
    </w:p>
    <w:p w:rsidR="005B62C8" w:rsidRPr="006F566C" w:rsidRDefault="005B62C8" w:rsidP="005B62C8">
      <w:pPr>
        <w:pStyle w:val="AbstracttitleDERJournal"/>
        <w:spacing w:after="0"/>
        <w:ind w:left="57"/>
        <w:jc w:val="both"/>
        <w:rPr>
          <w:b w:val="0"/>
          <w:bCs/>
          <w:sz w:val="28"/>
          <w:szCs w:val="28"/>
          <w:lang w:val="en-US"/>
        </w:rPr>
      </w:pPr>
      <w:r w:rsidRPr="006F566C">
        <w:rPr>
          <w:b w:val="0"/>
          <w:bCs/>
          <w:sz w:val="28"/>
          <w:szCs w:val="28"/>
          <w:lang w:val="en-US"/>
        </w:rPr>
        <w:t xml:space="preserve">Thermochemical energy storage is a qualified indirect storage. In contrast to sensible or latent heat storage, energy is stored through a physico-chemical process that consumes energy during the charging (dehydration) phase and releases it during the discharging (hydration) phase. It is not directly accessible, which has the advantage of not causing significant losses. </w:t>
      </w:r>
    </w:p>
    <w:p w:rsidR="005B62C8" w:rsidRPr="006F566C" w:rsidRDefault="005B62C8" w:rsidP="005B62C8">
      <w:pPr>
        <w:pStyle w:val="AbstracttitleDERJournal"/>
        <w:spacing w:after="0"/>
        <w:ind w:left="57"/>
        <w:jc w:val="both"/>
        <w:rPr>
          <w:b w:val="0"/>
          <w:bCs/>
          <w:sz w:val="28"/>
          <w:szCs w:val="28"/>
          <w:lang w:val="en-US"/>
        </w:rPr>
      </w:pPr>
      <w:r>
        <w:rPr>
          <w:b w:val="0"/>
          <w:bCs/>
          <w:sz w:val="28"/>
          <w:szCs w:val="28"/>
          <w:lang w:val="en-US"/>
        </w:rPr>
        <w:t xml:space="preserve">      </w:t>
      </w:r>
      <w:r w:rsidRPr="006F566C">
        <w:rPr>
          <w:b w:val="0"/>
          <w:bCs/>
          <w:sz w:val="28"/>
          <w:szCs w:val="28"/>
          <w:lang w:val="en-US"/>
        </w:rPr>
        <w:t>Thermochemical storage materials (TSMs) should have a high-energy storage density, multiple sources, rational price and relatively good thermal conductivity. This characteristics make of hydrate salts a worthy candidate used for heat storage.</w:t>
      </w:r>
    </w:p>
    <w:p w:rsidR="005B62C8" w:rsidRDefault="005B62C8" w:rsidP="005B62C8">
      <w:pPr>
        <w:pStyle w:val="AbstracttitleDERJournal"/>
        <w:spacing w:before="0" w:after="0"/>
        <w:ind w:left="57"/>
        <w:jc w:val="both"/>
        <w:rPr>
          <w:color w:val="000000"/>
          <w:sz w:val="24"/>
          <w:szCs w:val="24"/>
          <w:lang w:val="it-IT" w:eastAsia="it-IT"/>
        </w:rPr>
      </w:pPr>
      <w:r>
        <w:rPr>
          <w:b w:val="0"/>
          <w:bCs/>
          <w:sz w:val="28"/>
          <w:szCs w:val="28"/>
          <w:lang w:val="en-US"/>
        </w:rPr>
        <w:t xml:space="preserve">      </w:t>
      </w:r>
      <w:r w:rsidRPr="006F566C">
        <w:rPr>
          <w:b w:val="0"/>
          <w:bCs/>
          <w:sz w:val="28"/>
          <w:szCs w:val="28"/>
          <w:lang w:val="en-US"/>
        </w:rPr>
        <w:t>In this paper, the potential energy storage density and the storage efficiency of salt hydrates as low temperature TSMs for the storage of heat have been assessed. A deep evaluation of numerous salt hydrates has been carried out, including environnemental issues such a</w:t>
      </w:r>
      <w:r>
        <w:rPr>
          <w:b w:val="0"/>
          <w:bCs/>
          <w:sz w:val="28"/>
          <w:szCs w:val="28"/>
          <w:lang w:val="en-US"/>
        </w:rPr>
        <w:t xml:space="preserve">s toxicity. </w:t>
      </w:r>
      <w:proofErr w:type="gramStart"/>
      <w:r>
        <w:rPr>
          <w:b w:val="0"/>
          <w:bCs/>
          <w:sz w:val="28"/>
          <w:szCs w:val="28"/>
          <w:lang w:val="en-US"/>
        </w:rPr>
        <w:t xml:space="preserve">Thus, structural </w:t>
      </w:r>
      <w:r w:rsidRPr="006F566C">
        <w:rPr>
          <w:b w:val="0"/>
          <w:bCs/>
          <w:sz w:val="28"/>
          <w:szCs w:val="28"/>
          <w:lang w:val="en-US"/>
        </w:rPr>
        <w:t>investigations, thermal theoretical calculations and experimental measurements.</w:t>
      </w:r>
      <w:proofErr w:type="gramEnd"/>
      <w:r w:rsidRPr="006F566C">
        <w:rPr>
          <w:b w:val="0"/>
          <w:bCs/>
          <w:sz w:val="28"/>
          <w:szCs w:val="28"/>
          <w:lang w:val="en-US"/>
        </w:rPr>
        <w:t xml:space="preserve"> The preliminary results show a complete reversibility of salts confirmed by XRD, FTIR and RAMAN spectroscopy. On other hand, the thermal analyses show different dehydration temperatures range for each material. The mechanism and kinetics of dehydration/hydration reactions under water vapor sorption measurements were studied as well as the thermal efficiency to evaluate the promising salt for solar domestic hot water systems application.</w:t>
      </w:r>
    </w:p>
    <w:p w:rsidR="005B62C8" w:rsidRPr="005B62C8" w:rsidRDefault="005B62C8">
      <w:pPr>
        <w:rPr>
          <w:lang w:val="it-IT"/>
        </w:rPr>
      </w:pPr>
    </w:p>
    <w:sectPr w:rsidR="005B62C8" w:rsidRPr="005B62C8" w:rsidSect="00AF313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5B62C8"/>
    <w:rsid w:val="00194435"/>
    <w:rsid w:val="004F7ACB"/>
    <w:rsid w:val="005B62C8"/>
    <w:rsid w:val="00AF313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2C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bstracttitleDERJournal">
    <w:name w:val="Abstract title DER Journal"/>
    <w:rsid w:val="005B62C8"/>
    <w:pPr>
      <w:spacing w:before="360" w:after="120" w:line="240" w:lineRule="auto"/>
    </w:pPr>
    <w:rPr>
      <w:rFonts w:ascii="Times New Roman" w:eastAsia="Times New Roman" w:hAnsi="Times New Roman" w:cs="Times New Roman"/>
      <w:b/>
      <w:szCs w:val="20"/>
      <w:lang w:val="de-DE" w:eastAsia="de-DE"/>
    </w:rPr>
  </w:style>
  <w:style w:type="paragraph" w:customStyle="1" w:styleId="ZeoAuthors">
    <w:name w:val="Zeo Authors"/>
    <w:basedOn w:val="Normal"/>
    <w:rsid w:val="005B62C8"/>
    <w:pPr>
      <w:spacing w:after="280" w:line="240" w:lineRule="auto"/>
    </w:pPr>
    <w:rPr>
      <w:rFonts w:ascii="Times New Roman" w:eastAsia="Times New Roman" w:hAnsi="Times New Roman" w:cs="Times New Roman"/>
      <w:b/>
      <w:bCs/>
      <w:sz w:val="24"/>
      <w:szCs w:val="24"/>
      <w:lang w:val="en-US"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285</Words>
  <Characters>1573</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Luyanna</dc:creator>
  <cp:lastModifiedBy>Luyanna</cp:lastModifiedBy>
  <cp:revision>1</cp:revision>
  <dcterms:created xsi:type="dcterms:W3CDTF">2018-04-23T11:25:00Z</dcterms:created>
  <dcterms:modified xsi:type="dcterms:W3CDTF">2018-04-23T11:27:00Z</dcterms:modified>
</cp:coreProperties>
</file>