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302D9" w:rsidP="007302D9">
      <w:pPr>
        <w:pStyle w:val="Heading1"/>
        <w:spacing w:before="170"/>
        <w:ind w:left="0"/>
      </w:pPr>
      <w:r w:rsidRPr="007302D9">
        <w:rPr>
          <w:color w:val="337AB7"/>
        </w:rPr>
        <w:t>Gene</w:t>
      </w:r>
      <w:r>
        <w:rPr>
          <w:color w:val="337AB7"/>
        </w:rPr>
        <w:t>tic and epigenetic clues</w:t>
      </w:r>
      <w:r w:rsidRPr="007302D9">
        <w:rPr>
          <w:color w:val="337AB7"/>
        </w:rPr>
        <w:t xml:space="preserve">: </w:t>
      </w:r>
      <w:r>
        <w:rPr>
          <w:color w:val="337AB7"/>
        </w:rPr>
        <w:t xml:space="preserve">A promising insights to tame </w:t>
      </w:r>
      <w:r w:rsidRPr="007302D9">
        <w:rPr>
          <w:color w:val="337AB7"/>
        </w:rPr>
        <w:t xml:space="preserve">carcinoma drug </w:t>
      </w:r>
      <w:r>
        <w:rPr>
          <w:color w:val="337AB7"/>
        </w:rPr>
        <w:t>resistance</w:t>
      </w:r>
    </w:p>
    <w:p w:rsidR="007302D9" w:rsidRPr="007302D9" w:rsidRDefault="007302D9" w:rsidP="007302D9">
      <w:pPr>
        <w:pStyle w:val="BodyText"/>
        <w:rPr>
          <w:rFonts w:ascii="Arial"/>
        </w:rPr>
      </w:pPr>
    </w:p>
    <w:p w:rsidR="007302D9" w:rsidRPr="007302D9" w:rsidRDefault="007302D9" w:rsidP="007302D9">
      <w:pPr>
        <w:pStyle w:val="BodyText"/>
        <w:rPr>
          <w:rFonts w:ascii="Arial"/>
        </w:rPr>
      </w:pPr>
      <w:r w:rsidRPr="007302D9">
        <w:rPr>
          <w:rFonts w:ascii="Arial"/>
        </w:rPr>
        <w:t xml:space="preserve">Jahagirdar D, Kumar A, Jain A, Yadav S, Shekhawat M, Patel H, Kumar A, Roychoudhari S, Deshpande K, Nilendu P, Nilesh Kumar Sharma* </w:t>
      </w:r>
    </w:p>
    <w:p w:rsidR="007302D9" w:rsidRPr="007302D9" w:rsidRDefault="007302D9" w:rsidP="007302D9">
      <w:pPr>
        <w:pStyle w:val="BodyText"/>
        <w:rPr>
          <w:rFonts w:ascii="Arial"/>
        </w:rPr>
      </w:pPr>
      <w:r w:rsidRPr="007302D9">
        <w:rPr>
          <w:rFonts w:ascii="Arial"/>
        </w:rPr>
        <w:t xml:space="preserve">Cancer and Translational Research Lab, </w:t>
      </w:r>
    </w:p>
    <w:p w:rsidR="00AE3E37" w:rsidRDefault="007302D9" w:rsidP="007302D9">
      <w:pPr>
        <w:pStyle w:val="BodyText"/>
        <w:rPr>
          <w:rFonts w:ascii="Arial"/>
          <w:sz w:val="20"/>
        </w:rPr>
      </w:pPr>
      <w:bookmarkStart w:id="0" w:name="_GoBack"/>
      <w:r w:rsidRPr="007302D9">
        <w:rPr>
          <w:rFonts w:ascii="Arial"/>
        </w:rPr>
        <w:t>Dr. D.Y Patil Biotechnology &amp; Bioinformatics Institute, Padmashree Dr. D. Y. Patil University, Pune, Maharashtra, India, 411033.</w:t>
      </w:r>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3E7A36">
        <w:rPr>
          <w:color w:val="BF5A14"/>
        </w:rPr>
        <w:t>(300 word limit)</w:t>
      </w:r>
    </w:p>
    <w:p w:rsidR="007302D9" w:rsidRPr="007302D9" w:rsidRDefault="007302D9" w:rsidP="007302D9">
      <w:pPr>
        <w:pStyle w:val="Heading3"/>
        <w:spacing w:before="74"/>
        <w:jc w:val="both"/>
        <w:rPr>
          <w:rFonts w:ascii="Tw Cen MT" w:eastAsia="Tw Cen MT" w:hAnsi="Tw Cen MT" w:cs="Tw Cen MT"/>
          <w:b w:val="0"/>
          <w:bCs w:val="0"/>
          <w:sz w:val="18"/>
          <w:szCs w:val="18"/>
        </w:rPr>
      </w:pPr>
      <w:r w:rsidRPr="007302D9">
        <w:rPr>
          <w:rFonts w:ascii="Tw Cen MT" w:eastAsia="Tw Cen MT" w:hAnsi="Tw Cen MT" w:cs="Tw Cen MT"/>
          <w:b w:val="0"/>
          <w:bCs w:val="0"/>
          <w:sz w:val="18"/>
          <w:szCs w:val="18"/>
        </w:rPr>
        <w:t>BACKGROUND: In recent, several notions as genetic and epigenetic deregulation are proposed to contribute in existing cancer therapeutic options and their linked problems as resistance and relapse. One of genetic approaches has been suggested to look at the level of DNA repair responses towards genotoxic drugs. Among epigenetic contribution, epigenetic microenvironment and small regulatory RNAs are being explored to evaluate their therapeutic implications.</w:t>
      </w:r>
    </w:p>
    <w:p w:rsidR="007302D9" w:rsidRPr="007302D9" w:rsidRDefault="007302D9" w:rsidP="007302D9">
      <w:pPr>
        <w:pStyle w:val="Heading3"/>
        <w:spacing w:before="74"/>
        <w:jc w:val="both"/>
        <w:rPr>
          <w:rFonts w:ascii="Tw Cen MT" w:eastAsia="Tw Cen MT" w:hAnsi="Tw Cen MT" w:cs="Tw Cen MT"/>
          <w:b w:val="0"/>
          <w:bCs w:val="0"/>
          <w:sz w:val="18"/>
          <w:szCs w:val="18"/>
        </w:rPr>
      </w:pPr>
      <w:r w:rsidRPr="007302D9">
        <w:rPr>
          <w:rFonts w:ascii="Tw Cen MT" w:eastAsia="Tw Cen MT" w:hAnsi="Tw Cen MT" w:cs="Tw Cen MT"/>
          <w:b w:val="0"/>
          <w:bCs w:val="0"/>
          <w:sz w:val="18"/>
          <w:szCs w:val="18"/>
        </w:rPr>
        <w:t xml:space="preserve">METHODS: We have focused on genotoxic drugs such as Cisplatin, Doxorubicin and Temozolomide. On the other side, DNA repair protein inhibitors including KU-55933, L189 and SCR-7. We have also employed microenvironment from breast carcinoma to test their inhibition towards HeLa. We have also tested small regulatory RNAs from maize corn in HeLa proliferation. To dissect out these genetic and epigenetic approaches for better cancer cytotoxicity, authors have employed cellular and molecular based techniques such as MTT, PI based cell estimation, FACS based cell cycle and cell death determination, confocal microscopy and immunoblotting assays. </w:t>
      </w:r>
    </w:p>
    <w:p w:rsidR="007302D9" w:rsidRPr="007302D9" w:rsidRDefault="007302D9" w:rsidP="007302D9">
      <w:pPr>
        <w:pStyle w:val="Heading3"/>
        <w:spacing w:before="74"/>
        <w:jc w:val="both"/>
        <w:rPr>
          <w:rFonts w:ascii="Tw Cen MT" w:eastAsia="Tw Cen MT" w:hAnsi="Tw Cen MT" w:cs="Tw Cen MT"/>
          <w:b w:val="0"/>
          <w:bCs w:val="0"/>
          <w:sz w:val="18"/>
          <w:szCs w:val="18"/>
        </w:rPr>
      </w:pPr>
      <w:r w:rsidRPr="007302D9">
        <w:rPr>
          <w:rFonts w:ascii="Tw Cen MT" w:eastAsia="Tw Cen MT" w:hAnsi="Tw Cen MT" w:cs="Tw Cen MT"/>
          <w:b w:val="0"/>
          <w:bCs w:val="0"/>
          <w:sz w:val="18"/>
          <w:szCs w:val="18"/>
        </w:rPr>
        <w:t>RESULTS AND DISCUSSION</w:t>
      </w:r>
    </w:p>
    <w:p w:rsidR="007302D9" w:rsidRPr="007302D9" w:rsidRDefault="007302D9" w:rsidP="007302D9">
      <w:pPr>
        <w:pStyle w:val="Heading3"/>
        <w:spacing w:before="74"/>
        <w:jc w:val="both"/>
        <w:rPr>
          <w:rFonts w:ascii="Tw Cen MT" w:eastAsia="Tw Cen MT" w:hAnsi="Tw Cen MT" w:cs="Tw Cen MT"/>
          <w:b w:val="0"/>
          <w:bCs w:val="0"/>
          <w:sz w:val="18"/>
          <w:szCs w:val="18"/>
        </w:rPr>
      </w:pPr>
      <w:r w:rsidRPr="007302D9">
        <w:rPr>
          <w:rFonts w:ascii="Tw Cen MT" w:eastAsia="Tw Cen MT" w:hAnsi="Tw Cen MT" w:cs="Tw Cen MT"/>
          <w:b w:val="0"/>
          <w:bCs w:val="0"/>
          <w:sz w:val="18"/>
          <w:szCs w:val="18"/>
        </w:rPr>
        <w:t xml:space="preserve">Based on cellular and molecular analysis, present data strongly suggest that synergistic effect of drugs and inhibitors especially Dox plus DNA ligase inhibitors; Cisplatin plus KU-55933 and TMZ plus L189 could be better option in chemotherapy with significant reduction in dose of drugs. Our data from maize derived regulatory RNAs demonstrated strong inhibition of HeLa cell growth. In case of tumor microenvironment based experiment, non-cellular factors obtained from in vitro and clinical tissue samples, data suggest non-cellular microenvironment components of breast cancer may block the growth of HeLa. </w:t>
      </w:r>
    </w:p>
    <w:p w:rsidR="00AE3E37" w:rsidRDefault="007302D9" w:rsidP="007302D9">
      <w:pPr>
        <w:pStyle w:val="Heading3"/>
        <w:spacing w:before="74"/>
        <w:jc w:val="both"/>
      </w:pPr>
      <w:r w:rsidRPr="007302D9">
        <w:rPr>
          <w:rFonts w:ascii="Tw Cen MT" w:eastAsia="Tw Cen MT" w:hAnsi="Tw Cen MT" w:cs="Tw Cen MT"/>
          <w:b w:val="0"/>
          <w:bCs w:val="0"/>
          <w:sz w:val="18"/>
          <w:szCs w:val="18"/>
        </w:rPr>
        <w:t xml:space="preserve">CONCLUSION: In conclusion, besides genotoxic drug therapy, utilizing genetic and epigenetic aspects could open up better responsiveness in carcinoma. </w:t>
      </w:r>
      <w:r w:rsidR="00A9710C">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3E7A36">
        <w:rPr>
          <w:rFonts w:ascii="Arial"/>
          <w:b/>
          <w:color w:val="BF5A14"/>
          <w:sz w:val="20"/>
        </w:rPr>
        <w:t>Recent publi</w:t>
      </w:r>
      <w:r w:rsidR="00C33602" w:rsidRPr="003E7A36">
        <w:rPr>
          <w:rFonts w:ascii="Arial"/>
          <w:b/>
          <w:color w:val="BF5A14"/>
          <w:sz w:val="20"/>
        </w:rPr>
        <w:t>cations</w:t>
      </w:r>
      <w:r w:rsidR="00C33602">
        <w:rPr>
          <w:rFonts w:ascii="Arial"/>
          <w:b/>
          <w:color w:val="BF5A14"/>
          <w:sz w:val="20"/>
        </w:rPr>
        <w:t xml:space="preserve"> (minimum 5)</w:t>
      </w:r>
    </w:p>
    <w:p w:rsidR="007302D9" w:rsidRPr="007302D9" w:rsidRDefault="007302D9" w:rsidP="007302D9">
      <w:pPr>
        <w:pStyle w:val="ListParagraph"/>
        <w:numPr>
          <w:ilvl w:val="0"/>
          <w:numId w:val="3"/>
        </w:numPr>
        <w:ind w:left="360" w:hanging="180"/>
        <w:rPr>
          <w:sz w:val="18"/>
        </w:rPr>
      </w:pPr>
      <w:r w:rsidRPr="007302D9">
        <w:rPr>
          <w:sz w:val="18"/>
        </w:rPr>
        <w:t>Feinberg AP, Koldobskiy MA, Göndör A. 2016. Epigenetic modulators, modifiers and mediators in cancer aetiology and progression. Nat Rev Genet. 17(5):284-99.</w:t>
      </w:r>
    </w:p>
    <w:p w:rsidR="007302D9" w:rsidRPr="007302D9" w:rsidRDefault="007302D9" w:rsidP="007302D9">
      <w:pPr>
        <w:pStyle w:val="ListParagraph"/>
        <w:numPr>
          <w:ilvl w:val="0"/>
          <w:numId w:val="3"/>
        </w:numPr>
        <w:ind w:left="360" w:hanging="180"/>
        <w:rPr>
          <w:sz w:val="18"/>
        </w:rPr>
      </w:pPr>
      <w:r w:rsidRPr="007302D9">
        <w:rPr>
          <w:sz w:val="18"/>
        </w:rPr>
        <w:t xml:space="preserve">Shruti Purohit, Devashree Jahagirdar, Azad Kumar, Sharma NK*. 2016. Potential of taming microRNA on driver seat to control mitochondrial horses in breast carcinoma. MicroRNA. 5(3): 158-166.  </w:t>
      </w:r>
    </w:p>
    <w:p w:rsidR="007302D9" w:rsidRPr="007302D9" w:rsidRDefault="007302D9" w:rsidP="007302D9">
      <w:pPr>
        <w:pStyle w:val="ListParagraph"/>
        <w:numPr>
          <w:ilvl w:val="0"/>
          <w:numId w:val="3"/>
        </w:numPr>
        <w:ind w:left="360" w:hanging="180"/>
        <w:rPr>
          <w:sz w:val="18"/>
        </w:rPr>
      </w:pPr>
      <w:r w:rsidRPr="007302D9">
        <w:rPr>
          <w:sz w:val="18"/>
        </w:rPr>
        <w:t>Kumar A, Nilendu P, Azad Kumar, Sharma NK*. 2016. Epigenetic perturbation driving asleep telomerase reverse transcriptase: possible therapeutic avenues in carcinoma. Tumor Biology. 2017: 1-9. DOI: 10.1177/1010428317695951.</w:t>
      </w:r>
    </w:p>
    <w:p w:rsidR="007302D9" w:rsidRPr="007302D9" w:rsidRDefault="007302D9" w:rsidP="007302D9">
      <w:pPr>
        <w:pStyle w:val="ListParagraph"/>
        <w:numPr>
          <w:ilvl w:val="0"/>
          <w:numId w:val="3"/>
        </w:numPr>
        <w:ind w:left="360" w:hanging="180"/>
        <w:rPr>
          <w:sz w:val="18"/>
        </w:rPr>
      </w:pPr>
      <w:r w:rsidRPr="007302D9">
        <w:rPr>
          <w:sz w:val="18"/>
        </w:rPr>
        <w:t xml:space="preserve">Azad Kumar, Shruti Purohit, Sharma NK*. 2016. Aberrant DNA double-strand break repair threads in breast carcinoma: Orchestrating genomic insults survival. Journal of Cancer Prevention. 21(4):227-234. </w:t>
      </w:r>
    </w:p>
    <w:p w:rsidR="007302D9" w:rsidRPr="007302D9" w:rsidRDefault="007302D9" w:rsidP="007302D9">
      <w:pPr>
        <w:pStyle w:val="ListParagraph"/>
        <w:numPr>
          <w:ilvl w:val="0"/>
          <w:numId w:val="3"/>
        </w:numPr>
        <w:ind w:left="360" w:hanging="180"/>
        <w:rPr>
          <w:sz w:val="18"/>
        </w:rPr>
      </w:pPr>
      <w:r w:rsidRPr="007302D9">
        <w:rPr>
          <w:sz w:val="18"/>
        </w:rPr>
        <w:t>Lord CJ, Ashworth A. 2012. The DNA damage response and cancer therapy. Nature. 481(7381):287-94.</w:t>
      </w:r>
    </w:p>
    <w:p w:rsidR="007302D9" w:rsidRPr="007302D9" w:rsidRDefault="007302D9" w:rsidP="007302D9">
      <w:pPr>
        <w:pStyle w:val="ListParagraph"/>
        <w:numPr>
          <w:ilvl w:val="0"/>
          <w:numId w:val="3"/>
        </w:numPr>
        <w:ind w:left="360" w:hanging="180"/>
        <w:rPr>
          <w:sz w:val="18"/>
        </w:rPr>
      </w:pPr>
      <w:r w:rsidRPr="007302D9">
        <w:rPr>
          <w:sz w:val="18"/>
        </w:rPr>
        <w:t xml:space="preserve">Srivastava M, et al. 2012. An inhibitor of nonhomologous end-joining abrogates double-strand break repair and impedes cancer progression. Cell. 151:1474–1487. </w:t>
      </w:r>
    </w:p>
    <w:p w:rsidR="007302D9" w:rsidRPr="007302D9" w:rsidRDefault="007302D9" w:rsidP="007302D9">
      <w:pPr>
        <w:pStyle w:val="ListParagraph"/>
        <w:numPr>
          <w:ilvl w:val="0"/>
          <w:numId w:val="3"/>
        </w:numPr>
        <w:ind w:left="360" w:hanging="180"/>
        <w:rPr>
          <w:sz w:val="18"/>
        </w:rPr>
      </w:pPr>
      <w:r w:rsidRPr="007302D9">
        <w:rPr>
          <w:sz w:val="18"/>
        </w:rPr>
        <w:t>Pattabiraman DR, Bierie B, Kober KI, Thiru P, Krall JA, Zill et al.,. 2016. Activation of PKA leads to mesenchymal-to-epithelial transition and loss of tumor-initiating ability. Science. 351(6277):aad3680. doi: 10.1126/science.aad3680.</w:t>
      </w:r>
    </w:p>
    <w:p w:rsidR="007302D9" w:rsidRPr="007302D9" w:rsidRDefault="007302D9" w:rsidP="007302D9">
      <w:pPr>
        <w:pStyle w:val="ListParagraph"/>
        <w:numPr>
          <w:ilvl w:val="0"/>
          <w:numId w:val="3"/>
        </w:numPr>
        <w:ind w:left="360" w:hanging="180"/>
        <w:rPr>
          <w:sz w:val="18"/>
        </w:rPr>
      </w:pPr>
      <w:r w:rsidRPr="007302D9">
        <w:rPr>
          <w:sz w:val="18"/>
        </w:rPr>
        <w:t xml:space="preserve">Bhatkar D, Kumar A, Purohit S, Jahagirdar D, Sharma NK*. 2016. ATM kinase inhibitor KU-55933 contribution in cisplatin mediated HeLa proliferation. International Journal of Pharmacology and Toxicology. 4(2): 201-207.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bidi="hi-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A9710C" w:rsidP="007302D9">
      <w:pPr>
        <w:spacing w:before="92"/>
        <w:ind w:right="4234"/>
        <w:jc w:val="center"/>
        <w:rPr>
          <w:rFonts w:ascii="Arial"/>
        </w:rPr>
      </w:pPr>
      <w:r w:rsidRPr="003E7A36">
        <w:rPr>
          <w:rFonts w:ascii="Arial"/>
          <w:color w:val="BF5A14"/>
          <w:shd w:val="clear" w:color="auto" w:fill="FFFFFF" w:themeFill="background1"/>
        </w:rPr>
        <w:t>Biography</w:t>
      </w:r>
      <w:r w:rsidR="00404E5B" w:rsidRPr="003E7A36">
        <w:rPr>
          <w:rFonts w:ascii="Arial"/>
          <w:color w:val="BF5A14"/>
          <w:shd w:val="clear" w:color="auto" w:fill="FFFFFF" w:themeFill="background1"/>
        </w:rPr>
        <w:t xml:space="preserve"> (150 word limit)</w:t>
      </w:r>
    </w:p>
    <w:p w:rsidR="00AE3E37" w:rsidRDefault="007302D9">
      <w:pPr>
        <w:pStyle w:val="BodyText"/>
        <w:spacing w:before="2"/>
        <w:rPr>
          <w:rFonts w:ascii="Arial"/>
          <w:sz w:val="19"/>
        </w:rPr>
      </w:pPr>
      <w:r>
        <w:rPr>
          <w:rFonts w:ascii="Arial"/>
          <w:noProof/>
          <w:color w:val="BF5A14"/>
          <w:lang w:bidi="hi-IN"/>
        </w:rPr>
        <w:drawing>
          <wp:anchor distT="0" distB="0" distL="114300" distR="114300" simplePos="0" relativeHeight="251658240" behindDoc="0" locked="0" layoutInCell="1" allowOverlap="1">
            <wp:simplePos x="0" y="0"/>
            <wp:positionH relativeFrom="column">
              <wp:posOffset>3810</wp:posOffset>
            </wp:positionH>
            <wp:positionV relativeFrom="paragraph">
              <wp:posOffset>0</wp:posOffset>
            </wp:positionV>
            <wp:extent cx="564515" cy="725805"/>
            <wp:effectExtent l="0" t="0" r="6985" b="0"/>
            <wp:wrapSquare wrapText="bothSides"/>
            <wp:docPr id="11" name="Picture 11" descr="D:\NPTEL course\NPTEL photo 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PTEL course\NPTEL photo 13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4515" cy="725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02D9">
        <w:rPr>
          <w:rFonts w:ascii="Arial"/>
          <w:sz w:val="14"/>
          <w:szCs w:val="22"/>
        </w:rPr>
        <w:t xml:space="preserve">I, Dr. Nilesh Kumar Sharma graduated from Indian Institute of Technology Roorkee in the year 2009 with Health Science specialization. Dr. Sharma </w:t>
      </w:r>
      <w:r>
        <w:rPr>
          <w:rFonts w:ascii="Arial"/>
          <w:sz w:val="14"/>
          <w:szCs w:val="22"/>
        </w:rPr>
        <w:t xml:space="preserve">   </w:t>
      </w:r>
      <w:r w:rsidRPr="007302D9">
        <w:rPr>
          <w:rFonts w:ascii="Arial"/>
          <w:sz w:val="14"/>
          <w:szCs w:val="22"/>
        </w:rPr>
        <w:t xml:space="preserve">completed post doctoral research training for more than three years in DNA repair genetic and cancer biology at NIEHS, NIH, USA and New Jersey Medical School, NJ, USA.  Since July 2016, Dr. Sharma is working as an Associate Professor at DYPBBI as a faculty and Principal Investigator in DST and DPU funded research project. Since 2013, Dr. Sharma served as an Assistant Professor at DYPBBI. Dr. Sharma is actively engaged in academic work to teach subjects like Cancer Biology, Immunology, Cell Biology and Molecular Biology to under graduate and post graduate students Dr. Sharma is credited with more than 15 research publications in indexed international Journals and two book chapters. </w:t>
      </w:r>
    </w:p>
    <w:p w:rsidR="00AE3E37" w:rsidRPr="007302D9" w:rsidRDefault="007302D9" w:rsidP="007302D9">
      <w:pPr>
        <w:pStyle w:val="BodyText"/>
        <w:jc w:val="center"/>
        <w:rPr>
          <w:rFonts w:ascii="Arial"/>
          <w:sz w:val="12"/>
          <w:szCs w:val="10"/>
        </w:rPr>
      </w:pPr>
      <w:r w:rsidRPr="007302D9">
        <w:rPr>
          <w:rFonts w:ascii="Arial"/>
          <w:sz w:val="12"/>
          <w:szCs w:val="10"/>
        </w:rPr>
        <w:t>Email ID: Nilesh.sharma@dpu.edu.in</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1FD" w:rsidRDefault="008D61FD">
      <w:r>
        <w:separator/>
      </w:r>
    </w:p>
  </w:endnote>
  <w:endnote w:type="continuationSeparator" w:id="0">
    <w:p w:rsidR="008D61FD" w:rsidRDefault="008D6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bidi="hi-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hi-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i-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1FD" w:rsidRDefault="008D61FD">
      <w:r>
        <w:separator/>
      </w:r>
    </w:p>
  </w:footnote>
  <w:footnote w:type="continuationSeparator" w:id="0">
    <w:p w:rsidR="008D61FD" w:rsidRDefault="008D61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bidi="hi-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i-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30121F"/>
    <w:multiLevelType w:val="hybridMultilevel"/>
    <w:tmpl w:val="E85C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36"/>
    <w:rsid w:val="000C4051"/>
    <w:rsid w:val="000D0D49"/>
    <w:rsid w:val="000E2911"/>
    <w:rsid w:val="001263DF"/>
    <w:rsid w:val="00190F01"/>
    <w:rsid w:val="003E7A36"/>
    <w:rsid w:val="00404E5B"/>
    <w:rsid w:val="00414F7B"/>
    <w:rsid w:val="004355DC"/>
    <w:rsid w:val="004749B4"/>
    <w:rsid w:val="00492A52"/>
    <w:rsid w:val="004E6EF6"/>
    <w:rsid w:val="004F3523"/>
    <w:rsid w:val="005B3A56"/>
    <w:rsid w:val="006060CE"/>
    <w:rsid w:val="0063497F"/>
    <w:rsid w:val="007302D9"/>
    <w:rsid w:val="007D7771"/>
    <w:rsid w:val="00873DF0"/>
    <w:rsid w:val="008D61FD"/>
    <w:rsid w:val="009B2D44"/>
    <w:rsid w:val="009C4C1F"/>
    <w:rsid w:val="00A0419B"/>
    <w:rsid w:val="00A9710C"/>
    <w:rsid w:val="00AE3E37"/>
    <w:rsid w:val="00B11197"/>
    <w:rsid w:val="00B21A57"/>
    <w:rsid w:val="00B42AC2"/>
    <w:rsid w:val="00C1387F"/>
    <w:rsid w:val="00C33602"/>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nilesh</cp:lastModifiedBy>
  <cp:revision>3</cp:revision>
  <dcterms:created xsi:type="dcterms:W3CDTF">2017-03-27T05:51:00Z</dcterms:created>
  <dcterms:modified xsi:type="dcterms:W3CDTF">2017-03-27T05:51:00Z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