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B12F5B" w14:textId="77777777" w:rsidR="0085131C" w:rsidRPr="000E24B6" w:rsidRDefault="0085131C" w:rsidP="0085131C">
      <w:pPr>
        <w:pStyle w:val="p1"/>
        <w:spacing w:line="480" w:lineRule="auto"/>
        <w:jc w:val="center"/>
        <w:rPr>
          <w:rFonts w:asciiTheme="majorBidi" w:hAnsiTheme="majorBidi" w:cstheme="majorBidi"/>
          <w:b/>
          <w:bCs/>
          <w:sz w:val="24"/>
          <w:szCs w:val="24"/>
        </w:rPr>
      </w:pPr>
      <w:r w:rsidRPr="000E24B6">
        <w:rPr>
          <w:rFonts w:asciiTheme="majorBidi" w:hAnsiTheme="majorBidi" w:cstheme="majorBidi"/>
          <w:b/>
          <w:bCs/>
          <w:sz w:val="24"/>
          <w:szCs w:val="24"/>
        </w:rPr>
        <w:t>A case of elevated procalcitonin (PCT) level in anaphylactic shock</w:t>
      </w:r>
    </w:p>
    <w:p w14:paraId="21729020" w14:textId="77777777" w:rsidR="0085131C" w:rsidRPr="00D15B2A" w:rsidRDefault="0085131C" w:rsidP="0085131C">
      <w:pPr>
        <w:spacing w:line="480" w:lineRule="auto"/>
        <w:contextualSpacing/>
        <w:jc w:val="center"/>
        <w:rPr>
          <w:rFonts w:asciiTheme="majorBidi" w:hAnsiTheme="majorBidi" w:cstheme="majorBidi"/>
          <w:b/>
          <w:bCs/>
          <w:color w:val="000000" w:themeColor="text1"/>
          <w:vertAlign w:val="superscript"/>
        </w:rPr>
      </w:pPr>
      <w:r w:rsidRPr="00D15B2A">
        <w:rPr>
          <w:rFonts w:asciiTheme="majorBidi" w:hAnsiTheme="majorBidi" w:cstheme="majorBidi"/>
          <w:b/>
          <w:bCs/>
          <w:color w:val="000000" w:themeColor="text1"/>
        </w:rPr>
        <w:t xml:space="preserve">Mohamed </w:t>
      </w:r>
      <w:proofErr w:type="spellStart"/>
      <w:r w:rsidRPr="00D15B2A">
        <w:rPr>
          <w:rFonts w:asciiTheme="majorBidi" w:hAnsiTheme="majorBidi" w:cstheme="majorBidi"/>
          <w:b/>
          <w:bCs/>
          <w:color w:val="000000" w:themeColor="text1"/>
        </w:rPr>
        <w:t>Shirazy</w:t>
      </w:r>
      <w:proofErr w:type="spellEnd"/>
      <w:r w:rsidRPr="00D15B2A">
        <w:rPr>
          <w:rFonts w:asciiTheme="majorBidi" w:hAnsiTheme="majorBidi" w:cstheme="majorBidi"/>
          <w:b/>
          <w:bCs/>
          <w:color w:val="000000" w:themeColor="text1"/>
        </w:rPr>
        <w:t xml:space="preserve"> </w:t>
      </w:r>
      <w:r w:rsidRPr="00D15B2A">
        <w:rPr>
          <w:rFonts w:asciiTheme="majorBidi" w:hAnsiTheme="majorBidi" w:cstheme="majorBidi"/>
          <w:b/>
          <w:bCs/>
          <w:color w:val="000000" w:themeColor="text1"/>
          <w:vertAlign w:val="superscript"/>
        </w:rPr>
        <w:t>1</w:t>
      </w:r>
      <w:r>
        <w:rPr>
          <w:rFonts w:asciiTheme="majorBidi" w:hAnsiTheme="majorBidi" w:cstheme="majorBidi"/>
          <w:b/>
          <w:bCs/>
          <w:color w:val="000000" w:themeColor="text1"/>
          <w:vertAlign w:val="superscript"/>
        </w:rPr>
        <w:t>,2</w:t>
      </w:r>
      <w:r w:rsidRPr="00D15B2A">
        <w:rPr>
          <w:rFonts w:asciiTheme="majorBidi" w:hAnsiTheme="majorBidi" w:cstheme="majorBidi"/>
          <w:b/>
          <w:bCs/>
          <w:color w:val="000000" w:themeColor="text1"/>
        </w:rPr>
        <w:t xml:space="preserve">, </w:t>
      </w:r>
      <w:proofErr w:type="spellStart"/>
      <w:r w:rsidRPr="00D15B2A">
        <w:rPr>
          <w:rFonts w:asciiTheme="majorBidi" w:hAnsiTheme="majorBidi" w:cstheme="majorBidi"/>
          <w:b/>
          <w:bCs/>
          <w:color w:val="000000" w:themeColor="text1"/>
        </w:rPr>
        <w:t>Duaa</w:t>
      </w:r>
      <w:proofErr w:type="spellEnd"/>
      <w:r w:rsidRPr="00D15B2A">
        <w:rPr>
          <w:rFonts w:asciiTheme="majorBidi" w:hAnsiTheme="majorBidi" w:cstheme="majorBidi"/>
          <w:b/>
          <w:bCs/>
          <w:color w:val="000000" w:themeColor="text1"/>
        </w:rPr>
        <w:t xml:space="preserve"> </w:t>
      </w:r>
      <w:proofErr w:type="spellStart"/>
      <w:r w:rsidRPr="00D15B2A">
        <w:rPr>
          <w:rFonts w:asciiTheme="majorBidi" w:hAnsiTheme="majorBidi" w:cstheme="majorBidi"/>
          <w:b/>
          <w:bCs/>
          <w:color w:val="000000" w:themeColor="text1"/>
        </w:rPr>
        <w:t>Abduljabbar</w:t>
      </w:r>
      <w:proofErr w:type="spellEnd"/>
      <w:r w:rsidRPr="00D15B2A">
        <w:rPr>
          <w:rFonts w:asciiTheme="majorBidi" w:hAnsiTheme="majorBidi" w:cstheme="majorBidi"/>
          <w:b/>
          <w:bCs/>
          <w:color w:val="000000" w:themeColor="text1"/>
        </w:rPr>
        <w:t xml:space="preserve"> </w:t>
      </w:r>
      <w:r>
        <w:rPr>
          <w:rFonts w:asciiTheme="majorBidi" w:hAnsiTheme="majorBidi" w:cstheme="majorBidi"/>
          <w:b/>
          <w:bCs/>
          <w:color w:val="000000" w:themeColor="text1"/>
          <w:vertAlign w:val="superscript"/>
        </w:rPr>
        <w:t>3</w:t>
      </w:r>
      <w:r w:rsidRPr="00D15B2A">
        <w:rPr>
          <w:rFonts w:asciiTheme="majorBidi" w:hAnsiTheme="majorBidi" w:cstheme="majorBidi"/>
          <w:b/>
          <w:bCs/>
          <w:color w:val="000000" w:themeColor="text1"/>
        </w:rPr>
        <w:t xml:space="preserve">, Anis </w:t>
      </w:r>
      <w:proofErr w:type="spellStart"/>
      <w:r w:rsidRPr="00D15B2A">
        <w:rPr>
          <w:rFonts w:asciiTheme="majorBidi" w:hAnsiTheme="majorBidi" w:cstheme="majorBidi"/>
          <w:b/>
          <w:bCs/>
          <w:color w:val="000000" w:themeColor="text1"/>
        </w:rPr>
        <w:t>Chaari</w:t>
      </w:r>
      <w:proofErr w:type="spellEnd"/>
      <w:r w:rsidRPr="00D15B2A">
        <w:rPr>
          <w:rFonts w:asciiTheme="majorBidi" w:hAnsiTheme="majorBidi" w:cstheme="majorBidi"/>
          <w:b/>
          <w:bCs/>
          <w:color w:val="000000" w:themeColor="text1"/>
        </w:rPr>
        <w:t xml:space="preserve"> </w:t>
      </w:r>
      <w:r>
        <w:rPr>
          <w:rFonts w:asciiTheme="majorBidi" w:hAnsiTheme="majorBidi" w:cstheme="majorBidi"/>
          <w:b/>
          <w:bCs/>
          <w:color w:val="000000" w:themeColor="text1"/>
          <w:vertAlign w:val="superscript"/>
        </w:rPr>
        <w:t>2</w:t>
      </w:r>
      <w:r w:rsidRPr="00D15B2A">
        <w:rPr>
          <w:rFonts w:asciiTheme="majorBidi" w:hAnsiTheme="majorBidi" w:cstheme="majorBidi"/>
          <w:b/>
          <w:bCs/>
          <w:color w:val="000000" w:themeColor="text1"/>
        </w:rPr>
        <w:t xml:space="preserve">, Kamel </w:t>
      </w:r>
      <w:proofErr w:type="spellStart"/>
      <w:r w:rsidRPr="00D15B2A">
        <w:rPr>
          <w:rFonts w:asciiTheme="majorBidi" w:hAnsiTheme="majorBidi" w:cstheme="majorBidi"/>
          <w:b/>
          <w:bCs/>
          <w:color w:val="000000" w:themeColor="text1"/>
        </w:rPr>
        <w:t>Bousselmi</w:t>
      </w:r>
      <w:proofErr w:type="spellEnd"/>
      <w:r w:rsidRPr="00D15B2A">
        <w:rPr>
          <w:rFonts w:asciiTheme="majorBidi" w:hAnsiTheme="majorBidi" w:cstheme="majorBidi"/>
          <w:b/>
          <w:bCs/>
          <w:color w:val="000000" w:themeColor="text1"/>
        </w:rPr>
        <w:t xml:space="preserve"> </w:t>
      </w:r>
      <w:r>
        <w:rPr>
          <w:rFonts w:asciiTheme="majorBidi" w:hAnsiTheme="majorBidi" w:cstheme="majorBidi"/>
          <w:b/>
          <w:bCs/>
          <w:color w:val="000000" w:themeColor="text1"/>
          <w:vertAlign w:val="superscript"/>
        </w:rPr>
        <w:t>2</w:t>
      </w:r>
      <w:r w:rsidRPr="00D15B2A">
        <w:rPr>
          <w:rFonts w:asciiTheme="majorBidi" w:hAnsiTheme="majorBidi" w:cstheme="majorBidi"/>
          <w:b/>
          <w:bCs/>
          <w:color w:val="000000" w:themeColor="text1"/>
        </w:rPr>
        <w:t>, Vipin Kauts</w:t>
      </w:r>
      <w:r>
        <w:rPr>
          <w:rFonts w:asciiTheme="majorBidi" w:hAnsiTheme="majorBidi" w:cstheme="majorBidi"/>
          <w:b/>
          <w:bCs/>
          <w:color w:val="000000" w:themeColor="text1"/>
          <w:vertAlign w:val="superscript"/>
        </w:rPr>
        <w:t>2</w:t>
      </w:r>
      <w:r w:rsidRPr="00D15B2A">
        <w:rPr>
          <w:rFonts w:asciiTheme="majorBidi" w:hAnsiTheme="majorBidi" w:cstheme="majorBidi"/>
          <w:b/>
          <w:bCs/>
          <w:color w:val="000000" w:themeColor="text1"/>
        </w:rPr>
        <w:t xml:space="preserve">, Karim Hakim </w:t>
      </w:r>
      <w:r>
        <w:rPr>
          <w:rFonts w:asciiTheme="majorBidi" w:hAnsiTheme="majorBidi" w:cstheme="majorBidi"/>
          <w:b/>
          <w:bCs/>
          <w:color w:val="000000" w:themeColor="text1"/>
          <w:vertAlign w:val="superscript"/>
        </w:rPr>
        <w:t>2</w:t>
      </w:r>
    </w:p>
    <w:p w14:paraId="430FDBD7" w14:textId="77777777" w:rsidR="0085131C" w:rsidRPr="0084287F" w:rsidRDefault="0085131C" w:rsidP="0085131C">
      <w:pPr>
        <w:spacing w:line="480" w:lineRule="auto"/>
        <w:contextualSpacing/>
        <w:jc w:val="center"/>
        <w:rPr>
          <w:rFonts w:asciiTheme="majorBidi" w:hAnsiTheme="majorBidi" w:cstheme="majorBidi"/>
          <w:color w:val="000000" w:themeColor="text1"/>
        </w:rPr>
      </w:pPr>
      <w:r w:rsidRPr="00D15B2A">
        <w:rPr>
          <w:rFonts w:asciiTheme="majorBidi" w:hAnsiTheme="majorBidi" w:cstheme="majorBidi"/>
          <w:color w:val="000000" w:themeColor="text1"/>
          <w:vertAlign w:val="superscript"/>
        </w:rPr>
        <w:t xml:space="preserve">1 </w:t>
      </w:r>
      <w:r>
        <w:rPr>
          <w:rFonts w:asciiTheme="majorBidi" w:hAnsiTheme="majorBidi" w:cstheme="majorBidi"/>
          <w:color w:val="000000" w:themeColor="text1"/>
        </w:rPr>
        <w:t xml:space="preserve">Emergency Department, Furness General Hospital, University Hospitals of </w:t>
      </w:r>
      <w:proofErr w:type="spellStart"/>
      <w:r>
        <w:rPr>
          <w:rFonts w:asciiTheme="majorBidi" w:hAnsiTheme="majorBidi" w:cstheme="majorBidi"/>
          <w:color w:val="000000" w:themeColor="text1"/>
        </w:rPr>
        <w:t>Morcambe</w:t>
      </w:r>
      <w:proofErr w:type="spellEnd"/>
      <w:r>
        <w:rPr>
          <w:rFonts w:asciiTheme="majorBidi" w:hAnsiTheme="majorBidi" w:cstheme="majorBidi"/>
          <w:color w:val="000000" w:themeColor="text1"/>
        </w:rPr>
        <w:t xml:space="preserve"> Bay NHS foundation trust, United Kingdom</w:t>
      </w:r>
    </w:p>
    <w:p w14:paraId="52719422" w14:textId="77777777" w:rsidR="0085131C" w:rsidRPr="00D15B2A" w:rsidRDefault="0085131C" w:rsidP="0085131C">
      <w:pPr>
        <w:spacing w:line="480" w:lineRule="auto"/>
        <w:contextualSpacing/>
        <w:jc w:val="center"/>
        <w:rPr>
          <w:rFonts w:asciiTheme="majorBidi" w:hAnsiTheme="majorBidi" w:cstheme="majorBidi"/>
          <w:color w:val="000000" w:themeColor="text1"/>
        </w:rPr>
      </w:pPr>
      <w:r>
        <w:rPr>
          <w:rFonts w:asciiTheme="majorBidi" w:hAnsiTheme="majorBidi" w:cstheme="majorBidi"/>
          <w:color w:val="000000" w:themeColor="text1"/>
          <w:vertAlign w:val="superscript"/>
        </w:rPr>
        <w:t xml:space="preserve">2 </w:t>
      </w:r>
      <w:r w:rsidRPr="00D15B2A">
        <w:rPr>
          <w:rFonts w:asciiTheme="majorBidi" w:hAnsiTheme="majorBidi" w:cstheme="majorBidi"/>
          <w:color w:val="000000" w:themeColor="text1"/>
        </w:rPr>
        <w:t>Critical Care Department, King Hamad University Hospital, Kingdom of Bahrain.</w:t>
      </w:r>
    </w:p>
    <w:p w14:paraId="6A4CABB3" w14:textId="77777777" w:rsidR="0085131C" w:rsidRPr="00D15B2A" w:rsidRDefault="0085131C" w:rsidP="0085131C">
      <w:pPr>
        <w:spacing w:line="480" w:lineRule="auto"/>
        <w:contextualSpacing/>
        <w:jc w:val="center"/>
        <w:rPr>
          <w:rFonts w:asciiTheme="majorBidi" w:hAnsiTheme="majorBidi" w:cstheme="majorBidi"/>
          <w:color w:val="000000" w:themeColor="text1"/>
        </w:rPr>
      </w:pPr>
      <w:r>
        <w:rPr>
          <w:rFonts w:asciiTheme="majorBidi" w:hAnsiTheme="majorBidi" w:cstheme="majorBidi"/>
          <w:color w:val="000000" w:themeColor="text1"/>
          <w:vertAlign w:val="superscript"/>
        </w:rPr>
        <w:t>3</w:t>
      </w:r>
      <w:r w:rsidRPr="00D15B2A">
        <w:rPr>
          <w:rFonts w:asciiTheme="majorBidi" w:hAnsiTheme="majorBidi" w:cstheme="majorBidi"/>
          <w:color w:val="000000" w:themeColor="text1"/>
        </w:rPr>
        <w:t xml:space="preserve"> Internal Medicine department, King Hamad University Hospital, Kingdom of Bahrain.</w:t>
      </w:r>
    </w:p>
    <w:p w14:paraId="00AA362D" w14:textId="77777777" w:rsidR="0085131C" w:rsidRPr="000E24B6" w:rsidRDefault="0085131C" w:rsidP="0085131C">
      <w:pPr>
        <w:pStyle w:val="p1"/>
        <w:spacing w:line="480" w:lineRule="auto"/>
        <w:jc w:val="lowKashida"/>
        <w:rPr>
          <w:rFonts w:asciiTheme="majorBidi" w:hAnsiTheme="majorBidi" w:cstheme="majorBidi"/>
          <w:b/>
          <w:bCs/>
          <w:sz w:val="24"/>
          <w:szCs w:val="24"/>
        </w:rPr>
      </w:pPr>
      <w:bookmarkStart w:id="0" w:name="_GoBack"/>
      <w:bookmarkEnd w:id="0"/>
      <w:r w:rsidRPr="000E24B6">
        <w:rPr>
          <w:rFonts w:asciiTheme="majorBidi" w:hAnsiTheme="majorBidi" w:cstheme="majorBidi"/>
          <w:b/>
          <w:bCs/>
          <w:sz w:val="24"/>
          <w:szCs w:val="24"/>
        </w:rPr>
        <w:t>ABSTRACT:</w:t>
      </w:r>
    </w:p>
    <w:p w14:paraId="1CECFC0B" w14:textId="77777777" w:rsidR="0085131C" w:rsidRPr="000E24B6" w:rsidRDefault="0085131C" w:rsidP="0085131C">
      <w:pPr>
        <w:pStyle w:val="p1"/>
        <w:spacing w:line="480" w:lineRule="auto"/>
        <w:jc w:val="lowKashida"/>
        <w:rPr>
          <w:rFonts w:asciiTheme="majorBidi" w:hAnsiTheme="majorBidi" w:cstheme="majorBidi"/>
          <w:b/>
          <w:bCs/>
          <w:sz w:val="24"/>
          <w:szCs w:val="24"/>
        </w:rPr>
      </w:pPr>
      <w:r w:rsidRPr="000E24B6">
        <w:rPr>
          <w:rFonts w:asciiTheme="majorBidi" w:hAnsiTheme="majorBidi" w:cstheme="majorBidi"/>
          <w:b/>
          <w:bCs/>
          <w:sz w:val="24"/>
          <w:szCs w:val="24"/>
        </w:rPr>
        <w:t>Background:</w:t>
      </w:r>
    </w:p>
    <w:p w14:paraId="4A8E0578" w14:textId="77777777" w:rsidR="0085131C" w:rsidRPr="000E24B6" w:rsidRDefault="0085131C" w:rsidP="0085131C">
      <w:pPr>
        <w:pStyle w:val="p1"/>
        <w:spacing w:line="480" w:lineRule="auto"/>
        <w:jc w:val="lowKashida"/>
        <w:rPr>
          <w:rFonts w:asciiTheme="majorBidi" w:hAnsiTheme="majorBidi" w:cstheme="majorBidi"/>
          <w:sz w:val="24"/>
          <w:szCs w:val="24"/>
        </w:rPr>
      </w:pPr>
      <w:r w:rsidRPr="000E24B6">
        <w:rPr>
          <w:rFonts w:asciiTheme="majorBidi" w:hAnsiTheme="majorBidi" w:cstheme="majorBidi"/>
          <w:sz w:val="24"/>
          <w:szCs w:val="24"/>
        </w:rPr>
        <w:t>Anaphylaxis is a life-threatening condition, which is diagnosed clinically and confirmed by raised serial serum tryptase levels.</w:t>
      </w:r>
    </w:p>
    <w:p w14:paraId="457498E9" w14:textId="77777777" w:rsidR="0085131C" w:rsidRPr="000E24B6" w:rsidRDefault="0085131C" w:rsidP="0085131C">
      <w:pPr>
        <w:pStyle w:val="p1"/>
        <w:spacing w:line="480" w:lineRule="auto"/>
        <w:jc w:val="lowKashida"/>
        <w:rPr>
          <w:rFonts w:asciiTheme="majorBidi" w:hAnsiTheme="majorBidi" w:cstheme="majorBidi"/>
          <w:b/>
          <w:bCs/>
          <w:sz w:val="24"/>
          <w:szCs w:val="24"/>
        </w:rPr>
      </w:pPr>
      <w:r w:rsidRPr="000E24B6">
        <w:rPr>
          <w:rFonts w:asciiTheme="majorBidi" w:hAnsiTheme="majorBidi" w:cstheme="majorBidi"/>
          <w:b/>
          <w:bCs/>
          <w:sz w:val="24"/>
          <w:szCs w:val="24"/>
        </w:rPr>
        <w:t>Case Presentation</w:t>
      </w:r>
    </w:p>
    <w:p w14:paraId="251AE961" w14:textId="77777777" w:rsidR="0085131C" w:rsidRPr="000E24B6" w:rsidRDefault="0085131C" w:rsidP="0085131C">
      <w:pPr>
        <w:pStyle w:val="p1"/>
        <w:spacing w:line="480" w:lineRule="auto"/>
        <w:jc w:val="lowKashida"/>
        <w:rPr>
          <w:rFonts w:asciiTheme="majorBidi" w:hAnsiTheme="majorBidi" w:cstheme="majorBidi"/>
          <w:sz w:val="24"/>
          <w:szCs w:val="24"/>
        </w:rPr>
      </w:pPr>
      <w:r w:rsidRPr="000E24B6">
        <w:rPr>
          <w:rFonts w:asciiTheme="majorBidi" w:hAnsiTheme="majorBidi" w:cstheme="majorBidi"/>
          <w:sz w:val="24"/>
          <w:szCs w:val="24"/>
        </w:rPr>
        <w:t xml:space="preserve">A 75-year-old female, who was known to be allergic to penicillin was mistakenly prescribed meropenem, resulting in anaphylactic shock. She was mechanically ventilated and received intramuscular adrenalin in addition to intravenous hydrocortisone and chlorpheniramine, and nebulised salbutamol. Within two days, the anaphylactic shock had resolved, she was weaned off mechanical ventilation, and discharged to the ward. Procalcitonin (PCT) and serum tryptase levels sent within the first hour of the anaphylaxis. However, the initial and serial serum tryptase levels came significantly high, confirming the diagnosis of anaphylaxis, </w:t>
      </w:r>
      <w:r>
        <w:rPr>
          <w:rFonts w:asciiTheme="majorBidi" w:hAnsiTheme="majorBidi" w:cstheme="majorBidi"/>
          <w:sz w:val="24"/>
          <w:szCs w:val="24"/>
        </w:rPr>
        <w:t>i</w:t>
      </w:r>
      <w:r w:rsidRPr="000E24B6">
        <w:rPr>
          <w:rFonts w:asciiTheme="majorBidi" w:hAnsiTheme="majorBidi" w:cstheme="majorBidi"/>
          <w:sz w:val="24"/>
          <w:szCs w:val="24"/>
        </w:rPr>
        <w:t>nitial PCT level came significantly high as well. Daily follow up of the PCT levels went back to normal.</w:t>
      </w:r>
    </w:p>
    <w:p w14:paraId="1477F3B3" w14:textId="77777777" w:rsidR="0085131C" w:rsidRPr="000E24B6" w:rsidRDefault="0085131C" w:rsidP="0085131C">
      <w:pPr>
        <w:pStyle w:val="p1"/>
        <w:spacing w:line="480" w:lineRule="auto"/>
        <w:jc w:val="lowKashida"/>
        <w:rPr>
          <w:rFonts w:asciiTheme="majorBidi" w:hAnsiTheme="majorBidi" w:cstheme="majorBidi"/>
          <w:b/>
          <w:bCs/>
          <w:sz w:val="24"/>
          <w:szCs w:val="24"/>
        </w:rPr>
      </w:pPr>
      <w:r w:rsidRPr="000E24B6">
        <w:rPr>
          <w:rFonts w:asciiTheme="majorBidi" w:hAnsiTheme="majorBidi" w:cstheme="majorBidi"/>
          <w:b/>
          <w:bCs/>
          <w:sz w:val="24"/>
          <w:szCs w:val="24"/>
        </w:rPr>
        <w:t>Conclusion:</w:t>
      </w:r>
    </w:p>
    <w:p w14:paraId="58CCDC1D" w14:textId="77777777" w:rsidR="0085131C" w:rsidRPr="000E24B6" w:rsidRDefault="0085131C" w:rsidP="0085131C">
      <w:pPr>
        <w:pStyle w:val="p1"/>
        <w:spacing w:line="480" w:lineRule="auto"/>
        <w:jc w:val="lowKashida"/>
        <w:rPr>
          <w:rFonts w:asciiTheme="majorBidi" w:hAnsiTheme="majorBidi" w:cstheme="majorBidi"/>
          <w:sz w:val="24"/>
          <w:szCs w:val="24"/>
        </w:rPr>
      </w:pPr>
      <w:r w:rsidRPr="000E24B6">
        <w:rPr>
          <w:rFonts w:asciiTheme="majorBidi" w:hAnsiTheme="majorBidi" w:cstheme="majorBidi"/>
          <w:sz w:val="24"/>
          <w:szCs w:val="24"/>
        </w:rPr>
        <w:t>PCT can be an alternative diagnostic biomarker of anaphylaxis</w:t>
      </w:r>
    </w:p>
    <w:p w14:paraId="52011388" w14:textId="77777777" w:rsidR="0085131C" w:rsidRPr="0085131C" w:rsidRDefault="0085131C">
      <w:pPr>
        <w:rPr>
          <w:lang w:val="en-GB"/>
        </w:rPr>
      </w:pPr>
    </w:p>
    <w:sectPr w:rsidR="0085131C" w:rsidRPr="0085131C" w:rsidSect="00185E4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31C"/>
    <w:rsid w:val="00185E44"/>
    <w:rsid w:val="008513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3F2E638B"/>
  <w15:chartTrackingRefBased/>
  <w15:docId w15:val="{19AB81E2-40AC-4548-9E2E-91A7FE587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31C"/>
    <w:pPr>
      <w:widowControl w:val="0"/>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5131C"/>
    <w:pPr>
      <w:widowControl/>
      <w:spacing w:after="0" w:line="240" w:lineRule="auto"/>
    </w:pPr>
    <w:rPr>
      <w:rFonts w:ascii="Times" w:hAnsi="Times" w:cs="Times New Roman"/>
      <w:sz w:val="12"/>
      <w:szCs w:val="12"/>
      <w:lang w:val="en-GB" w:eastAsia="zh-CN"/>
    </w:rPr>
  </w:style>
  <w:style w:type="character" w:styleId="Hyperlink">
    <w:name w:val="Hyperlink"/>
    <w:basedOn w:val="DefaultParagraphFont"/>
    <w:uiPriority w:val="99"/>
    <w:semiHidden/>
    <w:unhideWhenUsed/>
    <w:rsid w:val="008513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214</Words>
  <Characters>1226</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shirazy</dc:creator>
  <cp:keywords/>
  <dc:description/>
  <cp:lastModifiedBy>mohamed shirazy</cp:lastModifiedBy>
  <cp:revision>1</cp:revision>
  <dcterms:created xsi:type="dcterms:W3CDTF">2019-12-30T21:12:00Z</dcterms:created>
  <dcterms:modified xsi:type="dcterms:W3CDTF">2019-12-30T21:15:00Z</dcterms:modified>
</cp:coreProperties>
</file>