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200" w:line="276" w:lineRule="auto"/>
        <w:contextualSpacing w:val="0"/>
        <w:rPr>
          <w:rFonts w:ascii="Garamond" w:cs="Garamond" w:eastAsia="Garamond" w:hAnsi="Garamond"/>
          <w:sz w:val="40"/>
          <w:szCs w:val="40"/>
        </w:rPr>
      </w:pPr>
      <w:r w:rsidDel="00000000" w:rsidR="00000000" w:rsidRPr="00000000">
        <w:rPr>
          <w:rFonts w:ascii="Garamond" w:cs="Garamond" w:eastAsia="Garamond" w:hAnsi="Garamond"/>
          <w:sz w:val="40"/>
          <w:szCs w:val="40"/>
          <w:rtl w:val="0"/>
        </w:rPr>
        <w:t xml:space="preserve">Title  : Looks can be deceiving– a rare presentation in  acute lymphoblasticleukemia</w:t>
      </w:r>
    </w:p>
    <w:p w:rsidR="00000000" w:rsidDel="00000000" w:rsidP="00000000" w:rsidRDefault="00000000" w:rsidRPr="00000000" w14:paraId="00000001">
      <w:pPr>
        <w:spacing w:after="200" w:line="276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contextualSpacing w:val="0"/>
        <w:rPr>
          <w:rFonts w:ascii="Garamond" w:cs="Garamond" w:eastAsia="Garamond" w:hAnsi="Garamond"/>
          <w:sz w:val="36"/>
          <w:szCs w:val="36"/>
          <w:u w:val="single"/>
        </w:rPr>
      </w:pPr>
      <w:r w:rsidDel="00000000" w:rsidR="00000000" w:rsidRPr="00000000">
        <w:rPr>
          <w:rFonts w:ascii="Garamond" w:cs="Garamond" w:eastAsia="Garamond" w:hAnsi="Garamond"/>
          <w:sz w:val="36"/>
          <w:szCs w:val="36"/>
          <w:u w:val="single"/>
          <w:rtl w:val="0"/>
        </w:rPr>
        <w:t xml:space="preserve">Abstract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="276" w:lineRule="auto"/>
        <w:ind w:left="720" w:hanging="360"/>
        <w:contextualSpacing w:val="0"/>
        <w:rPr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Purpose - We report a case of calla positive pre B cell acute lymphoblastic leukemia in a 5yr old male child , presented with bilateral proptosis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="276" w:lineRule="auto"/>
        <w:ind w:left="720" w:hanging="360"/>
        <w:contextualSpacing w:val="0"/>
        <w:rPr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Design – case report and literature review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="276" w:lineRule="auto"/>
        <w:ind w:left="720" w:hanging="360"/>
        <w:contextualSpacing w:val="0"/>
        <w:rPr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Methods  - Report of clinical , imaging (CT and MRI orbit ) and histopathological characteristics , and follow up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00" w:line="276" w:lineRule="auto"/>
        <w:ind w:left="720" w:hanging="360"/>
        <w:contextualSpacing w:val="0"/>
        <w:rPr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Background  -. 5 year old male child presented with acute issues of fever with bilateral excrutiating knee pain preceding fall, history of  bilateral proptosis for 3 months .Initial workup of hemogram, ophthalmology and  thyroid evaluation, imaging (MRI &amp;CT orbit ) were normal . Repeat hemogram  showed pancytopenia picture with multiple osteolytic lesions in xray knee, no lymphadenopathy or organomegaly noted. Following which bone marrow aspiartion study was done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00" w:line="276" w:lineRule="auto"/>
        <w:ind w:left="720" w:hanging="360"/>
        <w:contextualSpacing w:val="0"/>
        <w:rPr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Results - Bone marrow studies revealed hypercellular marrow with 40% blasts  and flow cytometry  results of blasts positive for CD19,CD10 , cCD79a  HLADR, confirmed the diagnosis of  CALLA POSITIVE PRE B- CELL ACUTE LYMPHOBLASTIC LEUKEMIA (ALL)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00" w:line="276" w:lineRule="auto"/>
        <w:ind w:left="720" w:hanging="360"/>
        <w:contextualSpacing w:val="0"/>
        <w:rPr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Conclusion  -Proptosis is usually associated with acute myelogenous leukemia , and rare in ALL especially when they precede the systemic disease and should be borne in mind when evaluating for proptosis .</w:t>
      </w:r>
    </w:p>
    <w:p w:rsidR="00000000" w:rsidDel="00000000" w:rsidP="00000000" w:rsidRDefault="00000000" w:rsidRPr="00000000" w14:paraId="00000009">
      <w:pPr>
        <w:spacing w:after="200" w:line="276" w:lineRule="auto"/>
        <w:ind w:left="720"/>
        <w:contextualSpacing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sz w:val="28"/>
          <w:szCs w:val="28"/>
          <w:rtl w:val="0"/>
        </w:rPr>
        <w:t xml:space="preserve">Keywords – bilateral proptosis, bone pain , osteolytic lesions,lymphoblastic leukemia</w:t>
      </w:r>
    </w:p>
    <w:p w:rsidR="00000000" w:rsidDel="00000000" w:rsidP="00000000" w:rsidRDefault="00000000" w:rsidRPr="00000000" w14:paraId="0000000A">
      <w:pPr>
        <w:spacing w:after="200" w:line="276" w:lineRule="auto"/>
        <w:contextualSpacing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Orbit. 2014 Dec;33(6):421-3. doi: 10.3109/01676830.2014.949791. Epub 2014Sep 10.Orbital mass secondary to acute lymphoblastic leukaemia in a child: a rarepresentation.=2006 Feb;113(2):343-6. Epub 2006 Jan 10.,Pre-B-cell acute lymphoblastic leukemia presenting as an orbital mass in an 8-month-old.</w:t>
      </w:r>
      <w:hyperlink r:id="rId6">
        <w:r w:rsidDel="00000000" w:rsidR="00000000" w:rsidRPr="00000000">
          <w:rPr>
            <w:rFonts w:ascii="Calibri" w:cs="Calibri" w:eastAsia="Calibri" w:hAnsi="Calibri"/>
            <w:i w:val="1"/>
            <w:rtl w:val="0"/>
          </w:rPr>
          <w:t xml:space="preserve">Thakker MM</w:t>
        </w:r>
      </w:hyperlink>
      <w:r w:rsidDel="00000000" w:rsidR="00000000" w:rsidRPr="00000000">
        <w:rPr>
          <w:rFonts w:ascii="Calibri" w:cs="Calibri" w:eastAsia="Calibri" w:hAnsi="Calibri"/>
          <w:i w:val="1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, </w:t>
      </w:r>
      <w:hyperlink r:id="rId7">
        <w:r w:rsidDel="00000000" w:rsidR="00000000" w:rsidRPr="00000000">
          <w:rPr>
            <w:rFonts w:ascii="Calibri" w:cs="Calibri" w:eastAsia="Calibri" w:hAnsi="Calibri"/>
            <w:i w:val="1"/>
            <w:rtl w:val="0"/>
          </w:rPr>
          <w:t xml:space="preserve">Rubin PA</w:t>
        </w:r>
      </w:hyperlink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, </w:t>
      </w:r>
      <w:hyperlink r:id="rId8">
        <w:r w:rsidDel="00000000" w:rsidR="00000000" w:rsidRPr="00000000">
          <w:rPr>
            <w:rFonts w:ascii="Calibri" w:cs="Calibri" w:eastAsia="Calibri" w:hAnsi="Calibri"/>
            <w:i w:val="1"/>
            <w:rtl w:val="0"/>
          </w:rPr>
          <w:t xml:space="preserve">Chang E</w:t>
        </w:r>
      </w:hyperlink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200" w:line="276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urgette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gette" w:cs="Courgette" w:eastAsia="Courgette" w:hAnsi="Courgett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gette" w:cs="Courgette" w:eastAsia="Courgette" w:hAnsi="Courgette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gette" w:cs="Courgette" w:eastAsia="Courgette" w:hAnsi="Courgette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gette" w:cs="Courgette" w:eastAsia="Courgette" w:hAnsi="Courgett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gette" w:cs="Courgette" w:eastAsia="Courgette" w:hAnsi="Courgette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gette" w:cs="Courgette" w:eastAsia="Courgette" w:hAnsi="Courgette"/>
      </w:rPr>
    </w:lvl>
    <w:lvl w:ilvl="6">
      <w:start w:val="1"/>
      <w:numFmt w:val="bullet"/>
      <w:lvlText w:val="O"/>
      <w:lvlJc w:val="left"/>
      <w:pPr>
        <w:ind w:left="5040" w:hanging="360"/>
      </w:pPr>
      <w:rPr>
        <w:rFonts w:ascii="Courgette" w:cs="Courgette" w:eastAsia="Courgette" w:hAnsi="Courgett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gette" w:cs="Courgette" w:eastAsia="Courgette" w:hAnsi="Courgette"/>
      </w:rPr>
    </w:lvl>
    <w:lvl w:ilvl="8">
      <w:start w:val="1"/>
      <w:numFmt w:val="bullet"/>
      <w:lvlText w:val="O"/>
      <w:lvlJc w:val="left"/>
      <w:pPr>
        <w:ind w:left="6480" w:hanging="360"/>
      </w:pPr>
      <w:rPr>
        <w:rFonts w:ascii="Courgette" w:cs="Courgette" w:eastAsia="Courgette" w:hAnsi="Courgett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ncbi.nlm.nih.gov/pubmed/?term=Thakker%20MM%5BAuthor%5D&amp;cauthor=true&amp;cauthor_uid=16406546" TargetMode="External"/><Relationship Id="rId7" Type="http://schemas.openxmlformats.org/officeDocument/2006/relationships/hyperlink" Target="http://www.ncbi.nlm.nih.gov/pubmed/?term=Rubin%20PA%5BAuthor%5D&amp;cauthor=true&amp;cauthor_uid=16406546" TargetMode="External"/><Relationship Id="rId8" Type="http://schemas.openxmlformats.org/officeDocument/2006/relationships/hyperlink" Target="http://www.ncbi.nlm.nih.gov/pubmed/?term=Chang%20E%5BAuthor%5D&amp;cauthor=true&amp;cauthor_uid=1640654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Courgett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