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FA32FF" w14:textId="40C154B7" w:rsidR="002C0F2B" w:rsidRDefault="002C0F2B" w:rsidP="001F414A">
      <w:pPr>
        <w:jc w:val="both"/>
        <w:rPr>
          <w:sz w:val="22"/>
          <w:szCs w:val="22"/>
          <w:lang w:val="en-GB"/>
        </w:rPr>
      </w:pPr>
      <w:r>
        <w:rPr>
          <w:sz w:val="22"/>
          <w:szCs w:val="22"/>
          <w:lang w:val="en-GB"/>
        </w:rPr>
        <w:t xml:space="preserve">                                                                                                                       </w:t>
      </w:r>
      <w:r w:rsidR="00AD1211" w:rsidRPr="00F77A61">
        <w:rPr>
          <w:noProof/>
          <w:sz w:val="22"/>
          <w:szCs w:val="22"/>
          <w:lang w:val="en-US" w:eastAsia="en-US"/>
        </w:rPr>
        <w:drawing>
          <wp:inline distT="0" distB="0" distL="0" distR="0" wp14:anchorId="2235C1FD" wp14:editId="21AE8F6F">
            <wp:extent cx="1828800" cy="1828800"/>
            <wp:effectExtent l="0" t="0" r="0" b="0"/>
            <wp:docPr id="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inline>
        </w:drawing>
      </w:r>
    </w:p>
    <w:p w14:paraId="628354B3" w14:textId="77777777" w:rsidR="00310CAB" w:rsidRPr="0069469C" w:rsidRDefault="00310CAB" w:rsidP="00310CAB">
      <w:pPr>
        <w:jc w:val="center"/>
        <w:rPr>
          <w:rFonts w:eastAsia="MS PGothic"/>
          <w:b/>
          <w:color w:val="000000"/>
          <w:sz w:val="28"/>
          <w:szCs w:val="28"/>
        </w:rPr>
      </w:pPr>
      <w:r>
        <w:rPr>
          <w:rFonts w:eastAsia="MS PGothic"/>
          <w:b/>
          <w:color w:val="000000"/>
          <w:sz w:val="28"/>
          <w:szCs w:val="28"/>
        </w:rPr>
        <w:t xml:space="preserve">Chronic </w:t>
      </w:r>
      <w:r w:rsidRPr="0069469C">
        <w:rPr>
          <w:rFonts w:eastAsia="MS PGothic"/>
          <w:b/>
          <w:color w:val="000000"/>
          <w:sz w:val="28"/>
          <w:szCs w:val="28"/>
        </w:rPr>
        <w:t>Epigastric Pain Presenting in a Case of Duodenal Diverticulum: A Case Report</w:t>
      </w:r>
    </w:p>
    <w:p w14:paraId="63553EBA" w14:textId="77777777" w:rsidR="00310CAB" w:rsidRDefault="00310CAB" w:rsidP="00310CAB">
      <w:pPr>
        <w:rPr>
          <w:rFonts w:eastAsia="MS PGothic"/>
          <w:color w:val="000000"/>
        </w:rPr>
      </w:pPr>
    </w:p>
    <w:p w14:paraId="58544E65" w14:textId="77777777" w:rsidR="00310CAB" w:rsidRPr="0069469C" w:rsidRDefault="00310CAB" w:rsidP="00310CAB">
      <w:pPr>
        <w:rPr>
          <w:b/>
          <w:sz w:val="28"/>
          <w:szCs w:val="28"/>
        </w:rPr>
      </w:pPr>
      <w:r w:rsidRPr="0069469C">
        <w:rPr>
          <w:rFonts w:eastAsia="MS PGothic"/>
          <w:color w:val="000000"/>
        </w:rPr>
        <w:br/>
      </w:r>
      <w:r w:rsidRPr="0069469C">
        <w:rPr>
          <w:b/>
          <w:sz w:val="28"/>
          <w:szCs w:val="28"/>
        </w:rPr>
        <w:t>Jay Mark D. Canlas, M.D.</w:t>
      </w:r>
    </w:p>
    <w:p w14:paraId="355056F4" w14:textId="77777777" w:rsidR="00310CAB" w:rsidRPr="0069469C" w:rsidRDefault="00310CAB" w:rsidP="00310CAB">
      <w:pPr>
        <w:rPr>
          <w:sz w:val="28"/>
          <w:szCs w:val="28"/>
        </w:rPr>
      </w:pPr>
      <w:r w:rsidRPr="0069469C">
        <w:rPr>
          <w:sz w:val="28"/>
          <w:szCs w:val="28"/>
        </w:rPr>
        <w:t>Department of Surgery</w:t>
      </w:r>
    </w:p>
    <w:p w14:paraId="66249572" w14:textId="77777777" w:rsidR="00310CAB" w:rsidRPr="0069469C" w:rsidRDefault="00310CAB" w:rsidP="00310CAB">
      <w:pPr>
        <w:rPr>
          <w:sz w:val="28"/>
          <w:szCs w:val="28"/>
        </w:rPr>
      </w:pPr>
      <w:r w:rsidRPr="0069469C">
        <w:rPr>
          <w:sz w:val="28"/>
          <w:szCs w:val="28"/>
        </w:rPr>
        <w:t>Mary Johnston Hospital</w:t>
      </w:r>
    </w:p>
    <w:p w14:paraId="24862935" w14:textId="77777777" w:rsidR="00310CAB" w:rsidRPr="0069469C" w:rsidRDefault="00310CAB" w:rsidP="00310CAB">
      <w:pPr>
        <w:rPr>
          <w:rFonts w:eastAsia="MS PGothic"/>
          <w:color w:val="000000"/>
        </w:rPr>
      </w:pPr>
      <w:r w:rsidRPr="0069469C">
        <w:rPr>
          <w:sz w:val="28"/>
          <w:szCs w:val="28"/>
        </w:rPr>
        <w:t>Tondo, Manila, Philippines</w:t>
      </w:r>
    </w:p>
    <w:p w14:paraId="49E79438" w14:textId="77777777" w:rsidR="00310CAB" w:rsidRPr="0069469C" w:rsidRDefault="00310CAB" w:rsidP="00310CAB">
      <w:pPr>
        <w:jc w:val="center"/>
        <w:rPr>
          <w:rFonts w:eastAsia="Batang"/>
          <w:color w:val="0000FF"/>
          <w:sz w:val="36"/>
          <w:szCs w:val="36"/>
        </w:rPr>
      </w:pPr>
    </w:p>
    <w:p w14:paraId="542E0A80" w14:textId="77777777" w:rsidR="00310CAB" w:rsidRPr="00F77A61" w:rsidRDefault="00310CAB" w:rsidP="00310CAB">
      <w:pPr>
        <w:jc w:val="both"/>
        <w:rPr>
          <w:sz w:val="28"/>
        </w:rPr>
      </w:pPr>
      <w:r w:rsidRPr="00F77A61">
        <w:rPr>
          <w:sz w:val="28"/>
        </w:rPr>
        <w:t>Bowel diverticulosis presents in &gt;10% among patients in the 5</w:t>
      </w:r>
      <w:r w:rsidRPr="00F77A61">
        <w:rPr>
          <w:sz w:val="28"/>
          <w:vertAlign w:val="superscript"/>
        </w:rPr>
        <w:t>th</w:t>
      </w:r>
      <w:r w:rsidRPr="00F77A61">
        <w:rPr>
          <w:sz w:val="28"/>
        </w:rPr>
        <w:t xml:space="preserve"> to 6</w:t>
      </w:r>
      <w:r w:rsidRPr="00F77A61">
        <w:rPr>
          <w:sz w:val="28"/>
          <w:vertAlign w:val="superscript"/>
        </w:rPr>
        <w:t>th</w:t>
      </w:r>
      <w:r w:rsidRPr="00F77A61">
        <w:rPr>
          <w:sz w:val="28"/>
        </w:rPr>
        <w:t xml:space="preserve"> decades of life. Mostly are asymptomatic and &gt;95% are found in the colon. The duodenum is the next common area predisposed to diverticula formation, which is existent in 1-5% of cases. Only a minority of such cases present with symptoms and would require surgical intervention.</w:t>
      </w:r>
    </w:p>
    <w:p w14:paraId="0555A865" w14:textId="77777777" w:rsidR="00310CAB" w:rsidRPr="00F77A61" w:rsidRDefault="00310CAB" w:rsidP="00310CAB">
      <w:pPr>
        <w:jc w:val="both"/>
        <w:rPr>
          <w:sz w:val="28"/>
        </w:rPr>
      </w:pPr>
    </w:p>
    <w:p w14:paraId="4229E0A4" w14:textId="77777777" w:rsidR="00310CAB" w:rsidRPr="00F77A61" w:rsidRDefault="00310CAB" w:rsidP="00310CAB">
      <w:pPr>
        <w:jc w:val="both"/>
        <w:rPr>
          <w:sz w:val="28"/>
        </w:rPr>
      </w:pPr>
      <w:r w:rsidRPr="00F77A61">
        <w:rPr>
          <w:sz w:val="28"/>
        </w:rPr>
        <w:t>Our case is of an 81 year old female who presented with chronic bouts of epigastric pain for the past decade, with increasing recurrence 3 weeks prior to admission. Whole abdominal CT scan with contrast showed colonic diverticulitis, and was treated as such. She was discharged accordingly. However, due to recurrence of aforementioned epigastric pain, she was readmitted and upper GI endoscopy revealed a duodenal diverticula. She was medically cleared and underwent laparoscopic diverticulectomy via wedge resection using endoscopic GI staplers for the duodenal diverticulum, for which she tolerated well.</w:t>
      </w:r>
    </w:p>
    <w:p w14:paraId="5B9BC506" w14:textId="77777777" w:rsidR="00310CAB" w:rsidRPr="00F77A61" w:rsidRDefault="00310CAB" w:rsidP="00310CAB">
      <w:pPr>
        <w:jc w:val="both"/>
        <w:rPr>
          <w:sz w:val="28"/>
        </w:rPr>
      </w:pPr>
    </w:p>
    <w:p w14:paraId="01E26208" w14:textId="77777777" w:rsidR="00310CAB" w:rsidRPr="00F77A61" w:rsidRDefault="00310CAB" w:rsidP="00310CAB">
      <w:pPr>
        <w:jc w:val="both"/>
        <w:rPr>
          <w:sz w:val="28"/>
        </w:rPr>
      </w:pPr>
      <w:r w:rsidRPr="00F77A61">
        <w:rPr>
          <w:sz w:val="28"/>
        </w:rPr>
        <w:t>Duodenal diverticula rarely present with symptoms and their mere presence is not an indication for surgery. However, if major complications present or if symptoms are refractory to medical management, surgical intervention can be considered, whether  via open or laparoscopic technique. Laparoscopic technique has been exhibited to be a safe and feasible option for the surgical management of duodenal diverticula.</w:t>
      </w:r>
    </w:p>
    <w:p w14:paraId="64D78121" w14:textId="77777777" w:rsidR="00310CAB" w:rsidRDefault="00310CAB" w:rsidP="00310CAB">
      <w:pPr>
        <w:jc w:val="both"/>
        <w:rPr>
          <w:color w:val="000000"/>
          <w:highlight w:val="yellow"/>
        </w:rPr>
      </w:pPr>
    </w:p>
    <w:p w14:paraId="3A81BFFC" w14:textId="0ECA7D28" w:rsidR="00310CAB" w:rsidRDefault="00AD1211" w:rsidP="00310CAB">
      <w:pPr>
        <w:jc w:val="both"/>
        <w:rPr>
          <w:color w:val="000000"/>
        </w:rPr>
      </w:pPr>
      <w:r>
        <w:rPr>
          <w:noProof/>
          <w:lang w:val="en-US" w:eastAsia="en-US"/>
        </w:rPr>
        <w:drawing>
          <wp:anchor distT="0" distB="0" distL="114300" distR="114300" simplePos="0" relativeHeight="251660288" behindDoc="1" locked="0" layoutInCell="1" allowOverlap="1" wp14:anchorId="035FC495" wp14:editId="763949A0">
            <wp:simplePos x="0" y="0"/>
            <wp:positionH relativeFrom="column">
              <wp:posOffset>8182610</wp:posOffset>
            </wp:positionH>
            <wp:positionV relativeFrom="paragraph">
              <wp:posOffset>410210</wp:posOffset>
            </wp:positionV>
            <wp:extent cx="3414395" cy="2717800"/>
            <wp:effectExtent l="203200" t="203200" r="192405" b="20320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14395" cy="2717800"/>
                    </a:xfrm>
                    <a:prstGeom prst="rect">
                      <a:avLst/>
                    </a:prstGeom>
                    <a:noFill/>
                    <a:ln w="190500">
                      <a:solidFill>
                        <a:srgbClr val="769541"/>
                      </a:solidFill>
                      <a:miter lim="800000"/>
                      <a:headEnd/>
                      <a:tailEnd/>
                    </a:ln>
                  </pic:spPr>
                </pic:pic>
              </a:graphicData>
            </a:graphic>
            <wp14:sizeRelH relativeFrom="margin">
              <wp14:pctWidth>0</wp14:pctWidth>
            </wp14:sizeRelH>
            <wp14:sizeRelV relativeFrom="margin">
              <wp14:pctHeight>0</wp14:pctHeight>
            </wp14:sizeRelV>
          </wp:anchor>
        </w:drawing>
      </w:r>
    </w:p>
    <w:p w14:paraId="1EAEEDBB" w14:textId="77777777" w:rsidR="00310CAB" w:rsidRDefault="00310CAB" w:rsidP="00310CAB">
      <w:pPr>
        <w:jc w:val="both"/>
        <w:rPr>
          <w:color w:val="000000"/>
        </w:rPr>
      </w:pPr>
    </w:p>
    <w:p w14:paraId="37E2E7D7" w14:textId="77777777" w:rsidR="00310CAB" w:rsidRDefault="00310CAB" w:rsidP="00310CAB">
      <w:pPr>
        <w:jc w:val="both"/>
        <w:rPr>
          <w:color w:val="000000"/>
        </w:rPr>
      </w:pPr>
    </w:p>
    <w:p w14:paraId="16E4F2D5" w14:textId="77777777" w:rsidR="00310CAB" w:rsidRDefault="00310CAB" w:rsidP="00310CAB">
      <w:pPr>
        <w:jc w:val="both"/>
        <w:rPr>
          <w:color w:val="000000"/>
        </w:rPr>
      </w:pPr>
      <w:r w:rsidRPr="006D47FD">
        <w:rPr>
          <w:noProof/>
        </w:rPr>
        <w:t xml:space="preserve"> </w:t>
      </w:r>
    </w:p>
    <w:p w14:paraId="6844930B" w14:textId="77777777" w:rsidR="00310CAB" w:rsidRDefault="00310CAB" w:rsidP="00310CAB">
      <w:pPr>
        <w:jc w:val="both"/>
        <w:rPr>
          <w:color w:val="000000"/>
        </w:rPr>
      </w:pPr>
    </w:p>
    <w:p w14:paraId="29C9F9A5" w14:textId="77777777" w:rsidR="00310CAB" w:rsidRDefault="00310CAB" w:rsidP="00310CAB">
      <w:pPr>
        <w:jc w:val="both"/>
        <w:rPr>
          <w:b/>
          <w:highlight w:val="yellow"/>
        </w:rPr>
      </w:pPr>
    </w:p>
    <w:p w14:paraId="447AF0F4" w14:textId="77777777" w:rsidR="00310CAB" w:rsidRDefault="00310CAB" w:rsidP="00310CAB">
      <w:pPr>
        <w:jc w:val="both"/>
        <w:rPr>
          <w:b/>
          <w:highlight w:val="yellow"/>
        </w:rPr>
      </w:pPr>
    </w:p>
    <w:p w14:paraId="3B7A9B74" w14:textId="77777777" w:rsidR="00310CAB" w:rsidRDefault="00310CAB" w:rsidP="00310CAB">
      <w:pPr>
        <w:jc w:val="both"/>
        <w:rPr>
          <w:b/>
          <w:highlight w:val="yellow"/>
        </w:rPr>
      </w:pPr>
    </w:p>
    <w:p w14:paraId="69AA90AC" w14:textId="01A105E7" w:rsidR="00310CAB" w:rsidRDefault="00AD1211" w:rsidP="00310CAB">
      <w:pPr>
        <w:jc w:val="both"/>
        <w:rPr>
          <w:b/>
          <w:highlight w:val="yellow"/>
        </w:rPr>
      </w:pPr>
      <w:r>
        <w:rPr>
          <w:noProof/>
          <w:lang w:val="en-US" w:eastAsia="en-US"/>
        </w:rPr>
        <w:lastRenderedPageBreak/>
        <w:drawing>
          <wp:anchor distT="0" distB="0" distL="114300" distR="114300" simplePos="0" relativeHeight="251661312" behindDoc="1" locked="0" layoutInCell="1" allowOverlap="1" wp14:anchorId="0C05280D" wp14:editId="34CB985D">
            <wp:simplePos x="0" y="0"/>
            <wp:positionH relativeFrom="column">
              <wp:posOffset>3124200</wp:posOffset>
            </wp:positionH>
            <wp:positionV relativeFrom="paragraph">
              <wp:posOffset>143510</wp:posOffset>
            </wp:positionV>
            <wp:extent cx="1859280" cy="1480185"/>
            <wp:effectExtent l="76200" t="76200" r="71120" b="69215"/>
            <wp:wrapNone/>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59280" cy="1480185"/>
                    </a:xfrm>
                    <a:prstGeom prst="rect">
                      <a:avLst/>
                    </a:prstGeom>
                    <a:noFill/>
                    <a:ln w="63500">
                      <a:solidFill>
                        <a:srgbClr val="769541"/>
                      </a:solidFill>
                      <a:miter lim="800000"/>
                      <a:headEnd/>
                      <a:tailEnd/>
                    </a:ln>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9264" behindDoc="1" locked="0" layoutInCell="1" allowOverlap="1" wp14:anchorId="3CDE3CBC" wp14:editId="1870FCBC">
            <wp:simplePos x="0" y="0"/>
            <wp:positionH relativeFrom="column">
              <wp:posOffset>762000</wp:posOffset>
            </wp:positionH>
            <wp:positionV relativeFrom="paragraph">
              <wp:posOffset>143510</wp:posOffset>
            </wp:positionV>
            <wp:extent cx="1920875" cy="1492885"/>
            <wp:effectExtent l="76200" t="76200" r="85725" b="81915"/>
            <wp:wrapNone/>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20875" cy="1492885"/>
                    </a:xfrm>
                    <a:prstGeom prst="rect">
                      <a:avLst/>
                    </a:prstGeom>
                    <a:noFill/>
                    <a:ln w="63500">
                      <a:solidFill>
                        <a:srgbClr val="769541"/>
                      </a:solidFill>
                      <a:miter lim="800000"/>
                      <a:headEnd/>
                      <a:tailEnd/>
                    </a:ln>
                  </pic:spPr>
                </pic:pic>
              </a:graphicData>
            </a:graphic>
            <wp14:sizeRelH relativeFrom="margin">
              <wp14:pctWidth>0</wp14:pctWidth>
            </wp14:sizeRelH>
            <wp14:sizeRelV relativeFrom="margin">
              <wp14:pctHeight>0</wp14:pctHeight>
            </wp14:sizeRelV>
          </wp:anchor>
        </w:drawing>
      </w:r>
    </w:p>
    <w:p w14:paraId="4F7D0707" w14:textId="77777777" w:rsidR="00310CAB" w:rsidRDefault="00310CAB" w:rsidP="00310CAB">
      <w:pPr>
        <w:jc w:val="both"/>
        <w:rPr>
          <w:b/>
          <w:highlight w:val="yellow"/>
        </w:rPr>
      </w:pPr>
    </w:p>
    <w:p w14:paraId="0A836AA4" w14:textId="77777777" w:rsidR="00310CAB" w:rsidRDefault="00310CAB" w:rsidP="00310CAB">
      <w:pPr>
        <w:jc w:val="both"/>
        <w:rPr>
          <w:b/>
          <w:highlight w:val="yellow"/>
        </w:rPr>
      </w:pPr>
    </w:p>
    <w:p w14:paraId="6E9ED9E9" w14:textId="77777777" w:rsidR="00310CAB" w:rsidRDefault="00310CAB" w:rsidP="00310CAB">
      <w:pPr>
        <w:jc w:val="both"/>
        <w:rPr>
          <w:b/>
          <w:highlight w:val="yellow"/>
        </w:rPr>
      </w:pPr>
    </w:p>
    <w:p w14:paraId="5F1AB2A8" w14:textId="77777777" w:rsidR="00310CAB" w:rsidRDefault="00310CAB" w:rsidP="00310CAB">
      <w:pPr>
        <w:jc w:val="both"/>
        <w:rPr>
          <w:b/>
          <w:highlight w:val="yellow"/>
        </w:rPr>
      </w:pPr>
    </w:p>
    <w:p w14:paraId="1E44D058" w14:textId="77777777" w:rsidR="00310CAB" w:rsidRPr="0069469C" w:rsidRDefault="00310CAB" w:rsidP="00310CAB">
      <w:pPr>
        <w:jc w:val="both"/>
        <w:rPr>
          <w:b/>
        </w:rPr>
      </w:pPr>
    </w:p>
    <w:p w14:paraId="50F9765E" w14:textId="77777777" w:rsidR="00310CAB" w:rsidRDefault="00310CAB" w:rsidP="00310CAB">
      <w:pPr>
        <w:jc w:val="both"/>
        <w:rPr>
          <w:b/>
        </w:rPr>
      </w:pPr>
    </w:p>
    <w:p w14:paraId="0D3EC90C" w14:textId="77777777" w:rsidR="00310CAB" w:rsidRDefault="00310CAB" w:rsidP="00310CAB">
      <w:pPr>
        <w:jc w:val="both"/>
        <w:rPr>
          <w:b/>
        </w:rPr>
      </w:pPr>
    </w:p>
    <w:p w14:paraId="3CB37D1E" w14:textId="77777777" w:rsidR="00310CAB" w:rsidRDefault="00310CAB" w:rsidP="00310CAB">
      <w:pPr>
        <w:jc w:val="both"/>
        <w:rPr>
          <w:b/>
        </w:rPr>
      </w:pPr>
    </w:p>
    <w:p w14:paraId="4CD3C4BC" w14:textId="77777777" w:rsidR="00310CAB" w:rsidRDefault="00310CAB" w:rsidP="00310CAB">
      <w:pPr>
        <w:jc w:val="both"/>
        <w:rPr>
          <w:b/>
        </w:rPr>
      </w:pPr>
    </w:p>
    <w:p w14:paraId="732F3C28" w14:textId="77777777" w:rsidR="00310CAB" w:rsidRPr="0069469C" w:rsidRDefault="00310CAB" w:rsidP="00310CAB">
      <w:pPr>
        <w:jc w:val="both"/>
        <w:rPr>
          <w:b/>
        </w:rPr>
      </w:pPr>
      <w:r w:rsidRPr="0069469C">
        <w:rPr>
          <w:b/>
        </w:rPr>
        <w:t>Figure 1: Endoscopic image of the noted outpouching segment at the 2nd portion of the duodenum. A CT scan confirms the presence of the diverticulum.</w:t>
      </w:r>
    </w:p>
    <w:p w14:paraId="7623BEE4" w14:textId="77777777" w:rsidR="00310CAB" w:rsidRDefault="00310CAB" w:rsidP="00310CAB">
      <w:pPr>
        <w:jc w:val="both"/>
        <w:rPr>
          <w:b/>
          <w:highlight w:val="yellow"/>
        </w:rPr>
      </w:pPr>
    </w:p>
    <w:p w14:paraId="545F347A" w14:textId="1AA0C958" w:rsidR="00310CAB" w:rsidRDefault="00AD1211" w:rsidP="00310CAB">
      <w:pPr>
        <w:jc w:val="center"/>
        <w:rPr>
          <w:b/>
          <w:highlight w:val="yellow"/>
        </w:rPr>
      </w:pPr>
      <w:r w:rsidRPr="00F77A61">
        <w:rPr>
          <w:b/>
          <w:noProof/>
          <w:lang w:val="en-US" w:eastAsia="en-US"/>
        </w:rPr>
        <w:drawing>
          <wp:inline distT="0" distB="0" distL="0" distR="0" wp14:anchorId="34CCD31C" wp14:editId="43B53AE2">
            <wp:extent cx="3736340" cy="2932430"/>
            <wp:effectExtent l="76200" t="76200" r="73660" b="6477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36340" cy="2932430"/>
                    </a:xfrm>
                    <a:prstGeom prst="rect">
                      <a:avLst/>
                    </a:prstGeom>
                    <a:noFill/>
                    <a:ln w="63500" cmpd="sng">
                      <a:solidFill>
                        <a:srgbClr val="769541"/>
                      </a:solidFill>
                      <a:miter lim="800000"/>
                      <a:headEnd/>
                      <a:tailEnd/>
                    </a:ln>
                    <a:effectLst/>
                  </pic:spPr>
                </pic:pic>
              </a:graphicData>
            </a:graphic>
          </wp:inline>
        </w:drawing>
      </w:r>
    </w:p>
    <w:p w14:paraId="636D0BB4" w14:textId="77777777" w:rsidR="00310CAB" w:rsidRPr="0063247A" w:rsidRDefault="00310CAB" w:rsidP="00310CAB">
      <w:pPr>
        <w:jc w:val="center"/>
        <w:rPr>
          <w:b/>
        </w:rPr>
      </w:pPr>
      <w:r w:rsidRPr="0063247A">
        <w:rPr>
          <w:b/>
        </w:rPr>
        <w:t>Figure 2. Diagnostic laparoscopy, wedge resection of duodenal diverticulum. All yellow arrows point to the duodenal diverticula seen over the second portion of the duodenum. A: Diverticulum being freed from the duodenum itself and the overlying omentum. B, C: Diverticulum freed from adhesions. D: Linear GI stapler applied, prior to resction of the diverticulum.</w:t>
      </w:r>
    </w:p>
    <w:p w14:paraId="6966DAFE" w14:textId="77777777" w:rsidR="00310CAB" w:rsidRPr="0063247A" w:rsidRDefault="00310CAB" w:rsidP="00310CAB">
      <w:pPr>
        <w:jc w:val="both"/>
        <w:rPr>
          <w:b/>
        </w:rPr>
      </w:pPr>
    </w:p>
    <w:p w14:paraId="29EC43FA" w14:textId="77777777" w:rsidR="00310CAB" w:rsidRDefault="00310CAB" w:rsidP="00310CAB">
      <w:pPr>
        <w:jc w:val="both"/>
        <w:rPr>
          <w:b/>
        </w:rPr>
      </w:pPr>
      <w:r w:rsidRPr="0063247A">
        <w:rPr>
          <w:b/>
        </w:rPr>
        <w:t>Biography</w:t>
      </w:r>
    </w:p>
    <w:p w14:paraId="67F89167" w14:textId="77777777" w:rsidR="00310CAB" w:rsidRDefault="00310CAB" w:rsidP="00310CAB">
      <w:pPr>
        <w:jc w:val="both"/>
        <w:rPr>
          <w:b/>
        </w:rPr>
      </w:pPr>
    </w:p>
    <w:p w14:paraId="45EF167A" w14:textId="77777777" w:rsidR="00310CAB" w:rsidRPr="00A41107" w:rsidRDefault="00310CAB" w:rsidP="00310CAB">
      <w:pPr>
        <w:rPr>
          <w:rFonts w:eastAsia="MS PGothic"/>
          <w:b/>
          <w:color w:val="000000"/>
          <w:szCs w:val="32"/>
        </w:rPr>
      </w:pPr>
      <w:r>
        <w:t xml:space="preserve">Dr. Canlas is a 4th year surgical resident at the Department of Surgery of Mary Johnston Hospital in Tondo, Manila, Philippines. He got his medical degree from the University of Santo Tomas Faculty of Medicine and Surgery in Manila, Philippines. He has been consistent and likewise successful in case report forums and research competitions in his institution. He has also experience in international conventions in presenting various research outputs. </w:t>
      </w:r>
      <w:r>
        <w:br/>
      </w:r>
    </w:p>
    <w:p w14:paraId="003E1C0B" w14:textId="77777777" w:rsidR="00310CAB" w:rsidRDefault="00310CAB" w:rsidP="00310CAB">
      <w:pPr>
        <w:autoSpaceDE w:val="0"/>
        <w:autoSpaceDN w:val="0"/>
        <w:adjustRightInd w:val="0"/>
        <w:rPr>
          <w:lang w:val="en-NZ"/>
        </w:rPr>
      </w:pPr>
      <w:r w:rsidRPr="0063247A">
        <w:rPr>
          <w:b/>
          <w:lang w:val="en-NZ"/>
        </w:rPr>
        <w:t>Presenting author details</w:t>
      </w:r>
      <w:r w:rsidRPr="008A690F">
        <w:rPr>
          <w:b/>
          <w:lang w:val="en-NZ"/>
        </w:rPr>
        <w:t xml:space="preserve"> </w:t>
      </w:r>
      <w:r w:rsidRPr="008A690F">
        <w:rPr>
          <w:b/>
          <w:lang w:val="en-NZ"/>
        </w:rPr>
        <w:br/>
      </w:r>
      <w:r w:rsidRPr="008A690F">
        <w:rPr>
          <w:lang w:val="en-NZ"/>
        </w:rPr>
        <w:t xml:space="preserve">Full name: </w:t>
      </w:r>
      <w:r>
        <w:rPr>
          <w:lang w:val="en-NZ"/>
        </w:rPr>
        <w:t>Jay Mark D. Canlas, M.D.</w:t>
      </w:r>
      <w:r w:rsidRPr="008A690F">
        <w:rPr>
          <w:lang w:val="en-NZ"/>
        </w:rPr>
        <w:br/>
        <w:t>Contact number:</w:t>
      </w:r>
      <w:r>
        <w:rPr>
          <w:lang w:val="en-NZ"/>
        </w:rPr>
        <w:t xml:space="preserve"> 0922 894 7997</w:t>
      </w:r>
    </w:p>
    <w:p w14:paraId="69C67DAD" w14:textId="77777777" w:rsidR="00310CAB" w:rsidRDefault="00310CAB" w:rsidP="00310CAB">
      <w:pPr>
        <w:autoSpaceDE w:val="0"/>
        <w:autoSpaceDN w:val="0"/>
        <w:adjustRightInd w:val="0"/>
        <w:rPr>
          <w:lang w:val="en-NZ"/>
        </w:rPr>
      </w:pPr>
      <w:r>
        <w:rPr>
          <w:lang w:val="en-NZ"/>
        </w:rPr>
        <w:t>Email id: jm.canlasmd@gmail.com</w:t>
      </w:r>
      <w:r w:rsidRPr="008A690F">
        <w:rPr>
          <w:lang w:val="en-NZ"/>
        </w:rPr>
        <w:br/>
        <w:t>Cate</w:t>
      </w:r>
      <w:r>
        <w:rPr>
          <w:lang w:val="en-NZ"/>
        </w:rPr>
        <w:t>gory: POSTER</w:t>
      </w:r>
    </w:p>
    <w:p w14:paraId="7ED05214" w14:textId="77777777" w:rsidR="00310CAB" w:rsidRDefault="00310CAB" w:rsidP="00310CAB">
      <w:pPr>
        <w:autoSpaceDE w:val="0"/>
        <w:autoSpaceDN w:val="0"/>
        <w:adjustRightInd w:val="0"/>
        <w:rPr>
          <w:lang w:val="en-NZ"/>
        </w:rPr>
      </w:pPr>
      <w:r w:rsidRPr="008A690F">
        <w:rPr>
          <w:lang w:val="en-NZ"/>
        </w:rPr>
        <w:t>Session name:</w:t>
      </w:r>
      <w:r>
        <w:rPr>
          <w:lang w:val="en-NZ"/>
        </w:rPr>
        <w:t xml:space="preserve"> Surgery case reports</w:t>
      </w:r>
    </w:p>
    <w:p w14:paraId="18E9B7A3" w14:textId="77777777" w:rsidR="00AD6315" w:rsidRPr="00310CAB" w:rsidRDefault="00310CAB" w:rsidP="00310CAB">
      <w:pPr>
        <w:rPr>
          <w:b/>
          <w:lang w:val="en-NZ"/>
        </w:rPr>
      </w:pPr>
      <w:r>
        <w:rPr>
          <w:lang w:val="en-NZ"/>
        </w:rPr>
        <w:t>Research interest: Minimally invasive surgery</w:t>
      </w:r>
    </w:p>
    <w:p w14:paraId="5936B11E" w14:textId="77777777" w:rsidR="00AC3BCD" w:rsidRDefault="00AC3BCD" w:rsidP="00072E30">
      <w:pPr>
        <w:jc w:val="both"/>
        <w:rPr>
          <w:lang w:val="en-NZ"/>
        </w:rPr>
      </w:pPr>
      <w:bookmarkStart w:id="0" w:name="_GoBack"/>
      <w:bookmarkEnd w:id="0"/>
    </w:p>
    <w:sectPr w:rsidR="00AC3BCD" w:rsidSect="001F414A">
      <w:headerReference w:type="even" r:id="rId13"/>
      <w:headerReference w:type="default" r:id="rId14"/>
      <w:footerReference w:type="even" r:id="rId15"/>
      <w:footerReference w:type="default" r:id="rId16"/>
      <w:headerReference w:type="first" r:id="rId17"/>
      <w:footerReference w:type="first" r:id="rId18"/>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34210A" w14:textId="77777777" w:rsidR="00185B23" w:rsidRDefault="00185B23" w:rsidP="00671A59">
      <w:r>
        <w:separator/>
      </w:r>
    </w:p>
  </w:endnote>
  <w:endnote w:type="continuationSeparator" w:id="0">
    <w:p w14:paraId="3862B446" w14:textId="77777777" w:rsidR="00185B23" w:rsidRDefault="00185B2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altName w:val="Telugu Sangam MN"/>
    <w:panose1 w:val="00000000000000000000"/>
    <w:charset w:val="01"/>
    <w:family w:val="roman"/>
    <w:notTrueType/>
    <w:pitch w:val="variable"/>
  </w:font>
  <w:font w:name="Tahoma">
    <w:panose1 w:val="020B0604030504040204"/>
    <w:charset w:val="00"/>
    <w:family w:val="auto"/>
    <w:pitch w:val="variable"/>
    <w:sig w:usb0="E1002EFF" w:usb1="C000605B" w:usb2="00000029" w:usb3="00000000" w:csb0="000101FF" w:csb1="00000000"/>
  </w:font>
  <w:font w:name="MS PGothic">
    <w:panose1 w:val="020B0600070205080204"/>
    <w:charset w:val="80"/>
    <w:family w:val="auto"/>
    <w:pitch w:val="variable"/>
    <w:sig w:usb0="E00002FF" w:usb1="6AC7FDFB" w:usb2="08000012" w:usb3="00000000" w:csb0="0002009F" w:csb1="00000000"/>
  </w:font>
  <w:font w:name="Batang">
    <w:panose1 w:val="02030600000101010101"/>
    <w:charset w:val="81"/>
    <w:family w:val="auto"/>
    <w:pitch w:val="variable"/>
    <w:sig w:usb0="B00002AF" w:usb1="69D77CFB" w:usb2="00000030" w:usb3="00000000" w:csb0="0008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AAD0D6" w14:textId="77777777" w:rsidR="00AD6315" w:rsidRDefault="00AD6315">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0E23DD" w14:textId="77777777" w:rsidR="00AD6315" w:rsidRDefault="00AD6315">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F5705" w14:textId="77777777" w:rsidR="00AD6315" w:rsidRDefault="00AD6315">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3A74FD" w14:textId="77777777" w:rsidR="00185B23" w:rsidRDefault="00185B23" w:rsidP="00671A59">
      <w:r>
        <w:separator/>
      </w:r>
    </w:p>
  </w:footnote>
  <w:footnote w:type="continuationSeparator" w:id="0">
    <w:p w14:paraId="4B94D648" w14:textId="77777777" w:rsidR="00185B23" w:rsidRDefault="00185B23" w:rsidP="00671A5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C03E77" w14:textId="77777777" w:rsidR="007F0333" w:rsidRPr="00671A59" w:rsidRDefault="007F0333">
    <w:pPr>
      <w:pStyle w:val="Header"/>
      <w:rPr>
        <w:lang w:val="en-US"/>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030673" w14:textId="77777777" w:rsidR="00AD6315" w:rsidRDefault="00AD6315">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82506D" w14:textId="77777777" w:rsidR="00AD6315" w:rsidRDefault="00AD6315">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D16474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85B23"/>
    <w:rsid w:val="001A411C"/>
    <w:rsid w:val="001B1336"/>
    <w:rsid w:val="001B6DE6"/>
    <w:rsid w:val="001F414A"/>
    <w:rsid w:val="00205354"/>
    <w:rsid w:val="002659F1"/>
    <w:rsid w:val="00270EC9"/>
    <w:rsid w:val="00292DC0"/>
    <w:rsid w:val="002B18D5"/>
    <w:rsid w:val="002C0F2B"/>
    <w:rsid w:val="00310CA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1211"/>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3091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targetScreenSz w:val="800x600"/>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theme" Target="theme/theme1.xml"/><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footer" Target="footer1.xml"/><Relationship Id="rId16" Type="http://schemas.openxmlformats.org/officeDocument/2006/relationships/footer" Target="footer2.xml"/><Relationship Id="rId17" Type="http://schemas.openxmlformats.org/officeDocument/2006/relationships/header" Target="header3.xml"/><Relationship Id="rId18" Type="http://schemas.openxmlformats.org/officeDocument/2006/relationships/footer" Target="footer3.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1001D-81E8-4045-ACEE-F298B0011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434</Words>
  <Characters>2476</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2905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2017-11-10T17:12:00Z</dcterms:created>
  <dcterms:modified xsi:type="dcterms:W3CDTF">2017-11-10T17:12:00Z</dcterms:modified>
</cp:coreProperties>
</file>