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96E" w:rsidRDefault="00B7796E" w:rsidP="00B7796E">
      <w:pPr>
        <w:shd w:val="clear" w:color="auto" w:fill="FFFFFF"/>
        <w:spacing w:before="166" w:after="166" w:line="330" w:lineRule="atLeast"/>
        <w:jc w:val="center"/>
        <w:rPr>
          <w:rFonts w:asciiTheme="majorBidi" w:hAnsiTheme="majorBidi" w:cstheme="majorBidi"/>
          <w:b/>
          <w:bCs/>
          <w:sz w:val="24"/>
          <w:szCs w:val="24"/>
          <w:lang w:bidi="ar-EG"/>
        </w:rPr>
      </w:pPr>
      <w:r>
        <w:rPr>
          <w:rFonts w:asciiTheme="majorBidi" w:eastAsia="Times New Roman" w:hAnsiTheme="majorBidi" w:cstheme="majorBidi"/>
          <w:b/>
          <w:bCs/>
          <w:color w:val="000000"/>
          <w:sz w:val="24"/>
          <w:szCs w:val="24"/>
        </w:rPr>
        <w:t>Ischemia modified albumin (IMA)</w:t>
      </w:r>
      <w:r>
        <w:rPr>
          <w:rFonts w:asciiTheme="majorBidi" w:hAnsiTheme="majorBidi" w:cstheme="majorBidi"/>
          <w:b/>
          <w:bCs/>
          <w:sz w:val="24"/>
          <w:szCs w:val="24"/>
          <w:lang w:bidi="ar-EG"/>
        </w:rPr>
        <w:t xml:space="preserve"> in acute coronary syndrome (ACS) and left bundle branch block (LBBB). Does it make the difference?</w:t>
      </w:r>
    </w:p>
    <w:p w:rsidR="00B7796E" w:rsidRDefault="00B7796E" w:rsidP="00B7796E">
      <w:pPr>
        <w:shd w:val="clear" w:color="auto" w:fill="FFFFFF"/>
        <w:spacing w:before="166" w:after="166" w:line="33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B7796E" w:rsidRDefault="00B7796E" w:rsidP="00B7796E">
      <w:pPr>
        <w:shd w:val="clear" w:color="auto" w:fill="FFFFFF"/>
        <w:spacing w:before="166" w:after="166" w:line="33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Background: management of patients with a suspected ACS and LBBB is a challenge to the </w:t>
      </w:r>
      <w:r>
        <w:rPr>
          <w:rFonts w:asciiTheme="majorBidi" w:hAnsiTheme="majorBidi" w:cstheme="majorBidi"/>
          <w:sz w:val="24"/>
          <w:szCs w:val="24"/>
          <w:lang w:bidi="ar-EG"/>
        </w:rPr>
        <w:t>clinician.</w:t>
      </w:r>
      <w:r>
        <w:rPr>
          <w:rFonts w:ascii="Times New Roman" w:eastAsia="Times New Roman" w:hAnsi="Times New Roman" w:cs="Times New Roman"/>
          <w:sz w:val="24"/>
          <w:szCs w:val="24"/>
        </w:rPr>
        <w:t xml:space="preserve">  </w:t>
      </w:r>
    </w:p>
    <w:p w:rsidR="00B7796E" w:rsidRDefault="00B7796E" w:rsidP="00B7796E">
      <w:pPr>
        <w:shd w:val="clear" w:color="auto" w:fill="FFFFFF"/>
        <w:spacing w:before="166" w:after="166" w:line="33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Aim:</w:t>
      </w:r>
      <w:r>
        <w:rPr>
          <w:rFonts w:asciiTheme="majorBidi" w:eastAsia="Times New Roman" w:hAnsiTheme="majorBidi" w:cstheme="majorBidi"/>
          <w:color w:val="000000"/>
          <w:sz w:val="24"/>
          <w:szCs w:val="24"/>
        </w:rPr>
        <w:t xml:space="preserve"> to detect the ability of IMA to exclude myocardial ischemia in suspected patients with ACS and LBBB.</w:t>
      </w:r>
    </w:p>
    <w:p w:rsidR="00B7796E" w:rsidRDefault="00B7796E" w:rsidP="00B7796E">
      <w:pPr>
        <w:spacing w:line="360" w:lineRule="auto"/>
        <w:jc w:val="both"/>
        <w:rPr>
          <w:rFonts w:asciiTheme="majorBidi" w:eastAsia="Times New Roman" w:hAnsiTheme="majorBidi"/>
          <w:color w:val="000000"/>
          <w:sz w:val="24"/>
          <w:szCs w:val="24"/>
        </w:rPr>
      </w:pPr>
      <w:r>
        <w:rPr>
          <w:rFonts w:ascii="Times New Roman" w:eastAsia="Times New Roman" w:hAnsi="Times New Roman" w:cs="Times New Roman"/>
          <w:sz w:val="24"/>
          <w:szCs w:val="24"/>
        </w:rPr>
        <w:t xml:space="preserve">Material and methods: </w:t>
      </w:r>
      <w:r>
        <w:rPr>
          <w:rFonts w:asciiTheme="majorBidi" w:eastAsia="Times New Roman" w:hAnsiTheme="majorBidi" w:cstheme="majorBidi"/>
          <w:color w:val="000000"/>
          <w:sz w:val="24"/>
          <w:szCs w:val="24"/>
        </w:rPr>
        <w:t xml:space="preserve">68 patients with suspected ACS and LBBB (group I) and another twenty patients age and sex matched known to have LBBB with normal coronary angiography (group II) were included in this study and subjected to: routine laboratory tests, </w:t>
      </w:r>
      <w:r>
        <w:rPr>
          <w:rFonts w:asciiTheme="majorBidi" w:eastAsia="Times New Roman" w:hAnsiTheme="majorBidi"/>
          <w:color w:val="000000"/>
          <w:sz w:val="24"/>
          <w:szCs w:val="24"/>
        </w:rPr>
        <w:t>12 lead ECG, echocardiography, and measurement of serum troponin I (</w:t>
      </w:r>
      <w:proofErr w:type="spellStart"/>
      <w:r>
        <w:rPr>
          <w:rFonts w:asciiTheme="majorBidi" w:eastAsia="Times New Roman" w:hAnsiTheme="majorBidi" w:cstheme="majorBidi"/>
          <w:color w:val="000000"/>
          <w:sz w:val="24"/>
          <w:szCs w:val="24"/>
        </w:rPr>
        <w:t>TnI</w:t>
      </w:r>
      <w:proofErr w:type="spellEnd"/>
      <w:r>
        <w:rPr>
          <w:rFonts w:asciiTheme="majorBidi" w:eastAsia="Times New Roman" w:hAnsiTheme="majorBidi" w:cstheme="majorBidi"/>
          <w:color w:val="000000"/>
          <w:sz w:val="24"/>
          <w:szCs w:val="24"/>
        </w:rPr>
        <w:t>)</w:t>
      </w:r>
      <w:r>
        <w:rPr>
          <w:rFonts w:asciiTheme="majorBidi" w:eastAsia="Times New Roman" w:hAnsiTheme="majorBidi"/>
          <w:color w:val="000000"/>
          <w:sz w:val="24"/>
          <w:szCs w:val="24"/>
        </w:rPr>
        <w:t xml:space="preserve"> and IMA (measured by ELISA). Diagnostic coronary angiography was performed to all patients and scored by severity and </w:t>
      </w:r>
      <w:r>
        <w:rPr>
          <w:rFonts w:asciiTheme="majorBidi" w:eastAsia="Times New Roman" w:hAnsiTheme="majorBidi" w:cstheme="majorBidi"/>
          <w:color w:val="000000"/>
          <w:sz w:val="24"/>
          <w:szCs w:val="24"/>
        </w:rPr>
        <w:t>modified Gensini scores</w:t>
      </w:r>
      <w:r>
        <w:rPr>
          <w:rFonts w:asciiTheme="majorBidi" w:eastAsia="Times New Roman" w:hAnsiTheme="majorBidi"/>
          <w:color w:val="000000"/>
          <w:sz w:val="24"/>
          <w:szCs w:val="24"/>
        </w:rPr>
        <w:t xml:space="preserve">. </w:t>
      </w:r>
    </w:p>
    <w:p w:rsidR="00B7796E" w:rsidRDefault="00B7796E" w:rsidP="00B7796E">
      <w:pPr>
        <w:shd w:val="clear" w:color="auto" w:fill="FFFFFF"/>
        <w:spacing w:before="166" w:after="166" w:line="330" w:lineRule="atLeast"/>
        <w:rPr>
          <w:rFonts w:asciiTheme="majorBidi" w:eastAsia="Times New Roman" w:hAnsiTheme="majorBidi" w:cstheme="majorBidi"/>
          <w:color w:val="000000"/>
          <w:sz w:val="24"/>
          <w:szCs w:val="24"/>
        </w:rPr>
      </w:pPr>
      <w:r>
        <w:rPr>
          <w:rFonts w:ascii="Times New Roman" w:eastAsia="Times New Roman" w:hAnsi="Times New Roman" w:cs="Times New Roman"/>
          <w:sz w:val="24"/>
          <w:szCs w:val="24"/>
        </w:rPr>
        <w:t xml:space="preserve">Results: </w:t>
      </w:r>
      <w:r>
        <w:rPr>
          <w:rFonts w:asciiTheme="majorBidi" w:hAnsiTheme="majorBidi" w:cstheme="majorBidi"/>
          <w:sz w:val="24"/>
          <w:szCs w:val="24"/>
        </w:rPr>
        <w:t xml:space="preserve">IMA and </w:t>
      </w:r>
      <w:proofErr w:type="spellStart"/>
      <w:r>
        <w:rPr>
          <w:rFonts w:asciiTheme="majorBidi" w:eastAsia="Times New Roman" w:hAnsiTheme="majorBidi" w:cstheme="majorBidi"/>
          <w:color w:val="000000"/>
          <w:sz w:val="24"/>
          <w:szCs w:val="24"/>
        </w:rPr>
        <w:t>TnI</w:t>
      </w:r>
      <w:proofErr w:type="spellEnd"/>
      <w:r>
        <w:rPr>
          <w:rFonts w:asciiTheme="majorBidi" w:hAnsiTheme="majorBidi" w:cstheme="majorBidi"/>
          <w:sz w:val="24"/>
          <w:szCs w:val="24"/>
        </w:rPr>
        <w:t xml:space="preserve"> levels are significant increased in group I compared to group II (P value</w:t>
      </w:r>
      <w:r>
        <w:rPr>
          <w:rFonts w:asciiTheme="majorBidi" w:hAnsiTheme="majorBidi" w:cstheme="majorBidi"/>
          <w:noProof/>
          <w:sz w:val="24"/>
          <w:szCs w:val="24"/>
        </w:rPr>
        <w:t xml:space="preserve"> </w:t>
      </w:r>
      <w:r>
        <w:rPr>
          <w:rFonts w:asciiTheme="majorBidi" w:hAnsiTheme="majorBidi" w:cstheme="majorBidi"/>
          <w:sz w:val="24"/>
          <w:szCs w:val="24"/>
        </w:rPr>
        <w:t>&lt;0.001</w:t>
      </w:r>
      <w:r>
        <w:rPr>
          <w:rFonts w:asciiTheme="majorBidi" w:hAnsiTheme="majorBidi" w:cstheme="majorBidi"/>
          <w:b/>
          <w:bCs/>
          <w:sz w:val="24"/>
          <w:szCs w:val="24"/>
        </w:rPr>
        <w:t>)</w:t>
      </w:r>
      <w:r>
        <w:rPr>
          <w:rFonts w:asciiTheme="majorBidi" w:hAnsiTheme="majorBidi" w:cstheme="majorBidi"/>
          <w:sz w:val="24"/>
          <w:szCs w:val="24"/>
        </w:rPr>
        <w:t xml:space="preserve">. IMA with a cut off value &gt; 95 could predict significant CAD (lesions &gt;50%) with AUC of 0.923, sensitivity of 88%, specificity of 83.33%, PPV of 93.6%, NPV of 71.4% and accuracy 86.76%.  Moreover, by using both simple and multiple logistic regression analysis IMA could also independently detect significant CAD. </w:t>
      </w:r>
      <w:r>
        <w:rPr>
          <w:rFonts w:asciiTheme="majorBidi" w:eastAsia="Times New Roman" w:hAnsiTheme="majorBidi" w:cstheme="majorBidi"/>
          <w:color w:val="000000"/>
          <w:sz w:val="24"/>
          <w:szCs w:val="24"/>
        </w:rPr>
        <w:t xml:space="preserve">The combined use of IMA and </w:t>
      </w:r>
      <w:proofErr w:type="spellStart"/>
      <w:r>
        <w:rPr>
          <w:rFonts w:asciiTheme="majorBidi" w:eastAsia="Times New Roman" w:hAnsiTheme="majorBidi" w:cstheme="majorBidi"/>
          <w:color w:val="000000"/>
          <w:sz w:val="24"/>
          <w:szCs w:val="24"/>
        </w:rPr>
        <w:t>TnI</w:t>
      </w:r>
      <w:proofErr w:type="spellEnd"/>
      <w:r>
        <w:rPr>
          <w:rFonts w:asciiTheme="majorBidi" w:eastAsia="Times New Roman" w:hAnsiTheme="majorBidi" w:cstheme="majorBidi"/>
          <w:color w:val="000000"/>
          <w:sz w:val="24"/>
          <w:szCs w:val="24"/>
        </w:rPr>
        <w:t xml:space="preserve"> significantly improved the sensitivity and the negative predictive value to 98% and 90.9% respectively.</w:t>
      </w:r>
    </w:p>
    <w:p w:rsidR="00B7796E" w:rsidRDefault="00B7796E" w:rsidP="00B7796E">
      <w:pPr>
        <w:shd w:val="clear" w:color="auto" w:fill="FFFFFF"/>
        <w:spacing w:before="166" w:after="166" w:line="33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 There was a distinct advantage of measuring IMA in patients presenting to the emergency department with acute chest pain and LBBB to rule out a final diagnosis of ACS.</w:t>
      </w:r>
    </w:p>
    <w:p w:rsidR="003D2E71" w:rsidRDefault="00DB7F48">
      <w:r>
        <w:t>Keywords: IMA, LBBB, ACS</w:t>
      </w:r>
    </w:p>
    <w:sectPr w:rsidR="003D2E71" w:rsidSect="00B7122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B7796E"/>
    <w:rsid w:val="003D2E71"/>
    <w:rsid w:val="00785468"/>
    <w:rsid w:val="00B71227"/>
    <w:rsid w:val="00B7796E"/>
    <w:rsid w:val="00DB7F4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2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555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247</Words>
  <Characters>1329</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DR.MAK</dc:creator>
  <cp:keywords/>
  <dc:description/>
  <cp:lastModifiedBy>DR.MAK</cp:lastModifiedBy>
  <cp:revision>3</cp:revision>
  <dcterms:created xsi:type="dcterms:W3CDTF">2016-08-07T22:23:00Z</dcterms:created>
  <dcterms:modified xsi:type="dcterms:W3CDTF">2016-08-07T23:38:00Z</dcterms:modified>
</cp:coreProperties>
</file>