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45F" w:rsidRDefault="007A445F" w:rsidP="007A445F">
      <w:pPr>
        <w:pStyle w:val="1"/>
        <w:spacing w:before="170"/>
        <w:ind w:left="0"/>
        <w:rPr>
          <w:color w:val="337AB7"/>
        </w:rPr>
      </w:pPr>
      <w:r w:rsidRPr="007A445F">
        <w:rPr>
          <w:color w:val="337AB7"/>
        </w:rPr>
        <w:t>Novel Compound heterozygous Mutations of KCNQ1 in Long QT Syndrome with Familial History of Unexplained Sudden Death: Identified by analysis of Whole Exome Sequencing and Predisposing Genes</w:t>
      </w:r>
    </w:p>
    <w:p w:rsidR="007A445F" w:rsidRPr="007A445F" w:rsidRDefault="007A445F" w:rsidP="007A445F">
      <w:pPr>
        <w:pStyle w:val="1"/>
        <w:spacing w:before="170"/>
        <w:ind w:left="0"/>
        <w:rPr>
          <w:color w:val="337AB7"/>
        </w:rPr>
      </w:pPr>
    </w:p>
    <w:p w:rsidR="00DA66B1" w:rsidRPr="00C37D6E" w:rsidRDefault="00C37D6E" w:rsidP="00DA66B1">
      <w:r w:rsidRPr="00C37D6E">
        <w:t>Ting Zhao</w:t>
      </w:r>
      <w:r>
        <w:rPr>
          <w:vertAlign w:val="superscript"/>
        </w:rPr>
        <w:t>1</w:t>
      </w:r>
      <w:r>
        <w:t xml:space="preserve"> , </w:t>
      </w:r>
      <w:r w:rsidR="00DA66B1">
        <w:t>Yubi Lin</w:t>
      </w:r>
      <w:r w:rsidR="00DA66B1">
        <w:rPr>
          <w:vertAlign w:val="superscript"/>
        </w:rPr>
        <w:t>1</w:t>
      </w:r>
      <w:r w:rsidR="00DA66B1">
        <w:t>, Zifeng Huang</w:t>
      </w:r>
      <w:r w:rsidR="00DA66B1">
        <w:rPr>
          <w:vertAlign w:val="superscript"/>
        </w:rPr>
        <w:t>2</w:t>
      </w:r>
      <w:r>
        <w:t xml:space="preserve">, </w:t>
      </w:r>
      <w:r w:rsidRPr="00C37D6E">
        <w:t>Hongyun Lu</w:t>
      </w:r>
      <w:r>
        <w:rPr>
          <w:vertAlign w:val="superscript"/>
        </w:rPr>
        <w:t>1</w:t>
      </w:r>
      <w:bookmarkStart w:id="0" w:name="_GoBack"/>
      <w:bookmarkEnd w:id="0"/>
    </w:p>
    <w:p w:rsidR="00DA66B1" w:rsidRPr="00370DD6" w:rsidRDefault="00DA66B1" w:rsidP="00DA66B1">
      <w:pPr>
        <w:rPr>
          <w:vertAlign w:val="superscript"/>
        </w:rPr>
      </w:pPr>
    </w:p>
    <w:p w:rsidR="00DA66B1" w:rsidRDefault="00DA66B1" w:rsidP="00DA66B1">
      <w:pPr>
        <w:pStyle w:val="a5"/>
        <w:numPr>
          <w:ilvl w:val="0"/>
          <w:numId w:val="1"/>
        </w:numPr>
        <w:ind w:firstLineChars="0"/>
      </w:pPr>
      <w:r w:rsidRPr="00370DD6">
        <w:t>Department of Cardiology and Cardiovascular Intervention; Interventional Medical Center, The Fifth Affiliated Hospital of Sun Yat-sen University, Zhuhai 519000, P.R. China</w:t>
      </w:r>
    </w:p>
    <w:p w:rsidR="0059021E" w:rsidRDefault="00DA66B1" w:rsidP="00DA66B1">
      <w:pPr>
        <w:pStyle w:val="a5"/>
        <w:numPr>
          <w:ilvl w:val="0"/>
          <w:numId w:val="1"/>
        </w:numPr>
        <w:ind w:firstLineChars="0"/>
      </w:pPr>
      <w:r w:rsidRPr="00370DD6">
        <w:t>Jinan University, Guangzhou 510630, China</w:t>
      </w:r>
    </w:p>
    <w:p w:rsidR="0059021E" w:rsidRDefault="0059021E"/>
    <w:p w:rsidR="0059021E" w:rsidRDefault="0059021E">
      <w:pPr>
        <w:rPr>
          <w:color w:val="BF5A14"/>
        </w:rPr>
      </w:pPr>
      <w:r>
        <w:rPr>
          <w:color w:val="BF5A14"/>
        </w:rPr>
        <w:t>Abstract</w:t>
      </w:r>
    </w:p>
    <w:p w:rsidR="007A445F" w:rsidRDefault="007A445F" w:rsidP="00D41C5A">
      <w:pPr>
        <w:spacing w:line="360" w:lineRule="auto"/>
        <w:rPr>
          <w:rFonts w:ascii="Times New Roman" w:eastAsia="微软雅黑" w:hAnsi="Times New Roman"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</w:rPr>
        <w:t>Objective:</w:t>
      </w:r>
      <w:r>
        <w:rPr>
          <w:rFonts w:ascii="Times New Roman" w:hAnsi="Times New Roman"/>
          <w:sz w:val="24"/>
        </w:rPr>
        <w:t xml:space="preserve"> This study aimed to identify the pathogenic mutation in a Chinese family with long QT syndrome (LQTs) and </w:t>
      </w:r>
      <w:r>
        <w:rPr>
          <w:rFonts w:ascii="Times New Roman" w:hAnsi="Times New Roman"/>
          <w:sz w:val="24"/>
          <w:szCs w:val="21"/>
        </w:rPr>
        <w:t>unexplained sudden death (USD)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Methods and Results: </w:t>
      </w:r>
      <w:r>
        <w:rPr>
          <w:rFonts w:ascii="Times New Roman" w:hAnsi="Times New Roman"/>
          <w:sz w:val="24"/>
        </w:rPr>
        <w:t>Whole exome sequencing was conducted for</w:t>
      </w:r>
      <w:r>
        <w:rPr>
          <w:rFonts w:ascii="Times New Roman" w:hAnsi="Times New Roman"/>
          <w:sz w:val="24"/>
          <w:szCs w:val="21"/>
        </w:rPr>
        <w:t xml:space="preserve"> the proband. The genetic data was screened using the 1000 genomes project and SNP database (PubMed), and the identified mutations were assessed for predicted pathogenicity using the SIFT and Polyphen-2 algorithms.</w:t>
      </w:r>
      <w:r>
        <w:rPr>
          <w:rFonts w:ascii="Times New Roman" w:hAnsi="Times New Roman"/>
          <w:sz w:val="24"/>
        </w:rPr>
        <w:t xml:space="preserve"> We identified the compound heterozygous mutations in the </w:t>
      </w:r>
      <w:r>
        <w:rPr>
          <w:rFonts w:ascii="Times New Roman" w:hAnsi="Times New Roman"/>
          <w:i/>
          <w:sz w:val="24"/>
          <w:szCs w:val="21"/>
        </w:rPr>
        <w:t>KCNQ1</w:t>
      </w:r>
      <w:r>
        <w:rPr>
          <w:rFonts w:ascii="Times New Roman" w:hAnsi="Times New Roman"/>
          <w:sz w:val="24"/>
          <w:szCs w:val="21"/>
        </w:rPr>
        <w:t xml:space="preserve"> gene at 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1"/>
        </w:rPr>
        <w:t>G527A (p.W176X) and c.G1765A (p.G589S) predicted as “damaging”. The in-silico analysis showed that</w:t>
      </w:r>
      <w:r>
        <w:rPr>
          <w:rStyle w:val="2"/>
          <w:rFonts w:ascii="Times New Roman" w:hAnsi="Times New Roman"/>
          <w:sz w:val="24"/>
        </w:rPr>
        <w:t xml:space="preserve"> when compared to the characteristics of mRNA and protein of wild-type KCNQ1, the mRNA of c.G527A mutation was significantly different in the centroid secondary structure; the subunit coded by W176X would lose the transmembrane domains S3-S6 and helices A-D; the protein secondary structure of G598S was slightly shortened in helix structure; the protein physics-chemical parameters of W176X and G589S significantly and slightly changed, respectively. </w:t>
      </w:r>
      <w:r>
        <w:rPr>
          <w:rFonts w:ascii="Times New Roman" w:hAnsi="Times New Roman"/>
          <w:b/>
          <w:sz w:val="24"/>
        </w:rPr>
        <w:t>Conclusions:</w:t>
      </w:r>
      <w:r>
        <w:rPr>
          <w:rFonts w:ascii="Times New Roman" w:hAnsi="Times New Roman"/>
          <w:sz w:val="24"/>
        </w:rPr>
        <w:t xml:space="preserve"> The compound heterozygous mutations of </w:t>
      </w:r>
      <w:r>
        <w:rPr>
          <w:rFonts w:ascii="Times New Roman" w:hAnsi="Times New Roman"/>
          <w:sz w:val="24"/>
          <w:szCs w:val="21"/>
        </w:rPr>
        <w:t>W176X and G589S</w:t>
      </w:r>
      <w:r>
        <w:rPr>
          <w:rFonts w:ascii="Times New Roman" w:hAnsi="Times New Roman"/>
          <w:sz w:val="24"/>
        </w:rPr>
        <w:t xml:space="preserve"> coexisting in </w:t>
      </w:r>
      <w:r>
        <w:rPr>
          <w:rFonts w:ascii="Times New Roman" w:hAnsi="Times New Roman"/>
          <w:i/>
          <w:sz w:val="24"/>
          <w:szCs w:val="21"/>
        </w:rPr>
        <w:t>KCNQ1</w:t>
      </w:r>
      <w:r>
        <w:rPr>
          <w:rFonts w:ascii="Times New Roman" w:hAnsi="Times New Roman"/>
          <w:sz w:val="24"/>
        </w:rPr>
        <w:t xml:space="preserve"> gene of homologous chromosomes, resulting in more severe phenotype, are the likely pathogenic and genetic risks of</w:t>
      </w:r>
      <w:r>
        <w:rPr>
          <w:rFonts w:ascii="Times New Roman" w:hAnsi="Times New Roman"/>
          <w:sz w:val="24"/>
          <w:szCs w:val="21"/>
        </w:rPr>
        <w:t xml:space="preserve"> </w:t>
      </w:r>
      <w:r>
        <w:rPr>
          <w:rFonts w:ascii="Times New Roman" w:hAnsi="Times New Roman"/>
          <w:sz w:val="24"/>
        </w:rPr>
        <w:t>LQTs</w:t>
      </w:r>
      <w:r>
        <w:rPr>
          <w:rFonts w:ascii="Times New Roman" w:hAnsi="Times New Roman"/>
          <w:sz w:val="24"/>
          <w:szCs w:val="21"/>
        </w:rPr>
        <w:t xml:space="preserve"> and USD </w:t>
      </w:r>
      <w:r>
        <w:rPr>
          <w:rFonts w:ascii="Times New Roman" w:hAnsi="Times New Roman"/>
          <w:sz w:val="24"/>
        </w:rPr>
        <w:t xml:space="preserve">in this Chinese family. </w:t>
      </w:r>
    </w:p>
    <w:p w:rsidR="0059021E" w:rsidRPr="007A445F" w:rsidRDefault="0059021E" w:rsidP="007A445F">
      <w:pPr>
        <w:spacing w:line="360" w:lineRule="auto"/>
      </w:pPr>
    </w:p>
    <w:sectPr w:rsidR="0059021E" w:rsidRPr="007A44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A5B" w:rsidRDefault="000E1A5B" w:rsidP="007A445F">
      <w:r>
        <w:separator/>
      </w:r>
    </w:p>
  </w:endnote>
  <w:endnote w:type="continuationSeparator" w:id="0">
    <w:p w:rsidR="000E1A5B" w:rsidRDefault="000E1A5B" w:rsidP="007A4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A5B" w:rsidRDefault="000E1A5B" w:rsidP="007A445F">
      <w:r>
        <w:separator/>
      </w:r>
    </w:p>
  </w:footnote>
  <w:footnote w:type="continuationSeparator" w:id="0">
    <w:p w:rsidR="000E1A5B" w:rsidRDefault="000E1A5B" w:rsidP="007A4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43EEA"/>
    <w:multiLevelType w:val="hybridMultilevel"/>
    <w:tmpl w:val="7034E5EC"/>
    <w:lvl w:ilvl="0" w:tplc="C82CF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CC6336BD-71F9-483B-BA7B-BD46D1A48E3D}"/>
    <w:docVar w:name="KY_MEDREF_VERSION" w:val="3"/>
  </w:docVars>
  <w:rsids>
    <w:rsidRoot w:val="0059021E"/>
    <w:rsid w:val="00062E28"/>
    <w:rsid w:val="000733AF"/>
    <w:rsid w:val="000E1A5B"/>
    <w:rsid w:val="001338BB"/>
    <w:rsid w:val="0059021E"/>
    <w:rsid w:val="00624820"/>
    <w:rsid w:val="00720978"/>
    <w:rsid w:val="007A445F"/>
    <w:rsid w:val="007F3392"/>
    <w:rsid w:val="00920E9F"/>
    <w:rsid w:val="00C23BF7"/>
    <w:rsid w:val="00C37D6E"/>
    <w:rsid w:val="00D41C5A"/>
    <w:rsid w:val="00DA66B1"/>
    <w:rsid w:val="00E3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3AEC09-EDFD-444D-8D7C-556C3029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21E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link w:val="1Char"/>
    <w:uiPriority w:val="1"/>
    <w:qFormat/>
    <w:rsid w:val="0059021E"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59021E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customStyle="1" w:styleId="2">
    <w:name w:val="正文文本 (2)_"/>
    <w:link w:val="20"/>
    <w:uiPriority w:val="99"/>
    <w:unhideWhenUsed/>
    <w:qFormat/>
    <w:rsid w:val="0059021E"/>
    <w:rPr>
      <w:rFonts w:ascii="微软雅黑" w:eastAsia="微软雅黑" w:hAnsi="微软雅黑"/>
      <w:sz w:val="16"/>
      <w:shd w:val="clear" w:color="auto" w:fill="FFFFFF"/>
    </w:rPr>
  </w:style>
  <w:style w:type="paragraph" w:customStyle="1" w:styleId="20">
    <w:name w:val="正文文本 (2)"/>
    <w:basedOn w:val="a"/>
    <w:link w:val="2"/>
    <w:uiPriority w:val="99"/>
    <w:unhideWhenUsed/>
    <w:qFormat/>
    <w:rsid w:val="0059021E"/>
    <w:pPr>
      <w:shd w:val="clear" w:color="auto" w:fill="FFFFFF"/>
      <w:spacing w:line="308" w:lineRule="exact"/>
    </w:pPr>
    <w:rPr>
      <w:rFonts w:ascii="微软雅黑" w:eastAsia="微软雅黑" w:hAnsi="微软雅黑" w:cstheme="minorBidi"/>
      <w:sz w:val="16"/>
      <w:szCs w:val="22"/>
    </w:rPr>
  </w:style>
  <w:style w:type="paragraph" w:styleId="a3">
    <w:name w:val="header"/>
    <w:basedOn w:val="a"/>
    <w:link w:val="Char"/>
    <w:uiPriority w:val="99"/>
    <w:unhideWhenUsed/>
    <w:rsid w:val="007A44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445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44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445F"/>
    <w:rPr>
      <w:rFonts w:ascii="Calibri" w:eastAsia="宋体" w:hAnsi="Calibri" w:cs="Times New Roman"/>
      <w:sz w:val="18"/>
      <w:szCs w:val="18"/>
    </w:rPr>
  </w:style>
  <w:style w:type="paragraph" w:styleId="a5">
    <w:name w:val="List Paragraph"/>
    <w:basedOn w:val="a"/>
    <w:qFormat/>
    <w:rsid w:val="00DA66B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Cheefong Wong</dc:creator>
  <cp:keywords/>
  <dc:description/>
  <cp:lastModifiedBy>Cheefong Wong</cp:lastModifiedBy>
  <cp:revision>8</cp:revision>
  <dcterms:created xsi:type="dcterms:W3CDTF">2018-03-05T05:15:00Z</dcterms:created>
  <dcterms:modified xsi:type="dcterms:W3CDTF">2018-03-05T13:02:00Z</dcterms:modified>
</cp:coreProperties>
</file>