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8BB" w:rsidRDefault="00FD7A88" w:rsidP="00FD7A88">
      <w:pPr>
        <w:pStyle w:val="1"/>
        <w:spacing w:before="170"/>
        <w:ind w:left="0"/>
        <w:rPr>
          <w:color w:val="337AB7"/>
        </w:rPr>
      </w:pPr>
      <w:bookmarkStart w:id="0" w:name="OLE_LINK13"/>
      <w:r w:rsidRPr="00FD7A88">
        <w:rPr>
          <w:color w:val="337AB7"/>
        </w:rPr>
        <w:t xml:space="preserve">Familial Sudden Cardiac Death Caused by a DSG2 p.F531C Mutation as </w:t>
      </w:r>
      <w:bookmarkStart w:id="1" w:name="OLE_LINK32"/>
      <w:bookmarkStart w:id="2" w:name="OLE_LINK30"/>
      <w:r w:rsidRPr="00FD7A88">
        <w:rPr>
          <w:color w:val="337AB7"/>
        </w:rPr>
        <w:t>Genetic Background</w:t>
      </w:r>
      <w:bookmarkEnd w:id="0"/>
      <w:bookmarkEnd w:id="1"/>
      <w:bookmarkEnd w:id="2"/>
      <w:r w:rsidRPr="00FD7A88">
        <w:rPr>
          <w:color w:val="337AB7"/>
        </w:rPr>
        <w:t xml:space="preserve"> When Carrying with </w:t>
      </w:r>
      <w:bookmarkStart w:id="3" w:name="OLE_LINK36"/>
      <w:bookmarkStart w:id="4" w:name="OLE_LINK35"/>
      <w:r w:rsidRPr="00FD7A88">
        <w:rPr>
          <w:color w:val="337AB7"/>
        </w:rPr>
        <w:t>Heterozygous</w:t>
      </w:r>
      <w:bookmarkEnd w:id="3"/>
      <w:bookmarkEnd w:id="4"/>
      <w:r w:rsidRPr="00FD7A88">
        <w:rPr>
          <w:color w:val="337AB7"/>
        </w:rPr>
        <w:t xml:space="preserve"> KCNE5 p.D92E/E93X Mutation</w:t>
      </w:r>
    </w:p>
    <w:p w:rsidR="00FD7A88" w:rsidRDefault="00FD7A88" w:rsidP="00FD7A88">
      <w:pPr>
        <w:pStyle w:val="1"/>
        <w:spacing w:before="170"/>
        <w:ind w:left="0"/>
        <w:rPr>
          <w:color w:val="337AB7"/>
        </w:rPr>
      </w:pPr>
    </w:p>
    <w:p w:rsidR="00E656F6" w:rsidRDefault="00E656F6" w:rsidP="00E656F6">
      <w:pPr>
        <w:rPr>
          <w:vertAlign w:val="superscript"/>
        </w:rPr>
      </w:pPr>
      <w:r>
        <w:t>Yubi Lin</w:t>
      </w:r>
      <w:r>
        <w:rPr>
          <w:vertAlign w:val="superscript"/>
        </w:rPr>
        <w:t>1</w:t>
      </w:r>
      <w:r>
        <w:t>, Xiufang Lin</w:t>
      </w:r>
      <w:r>
        <w:rPr>
          <w:vertAlign w:val="superscript"/>
        </w:rPr>
        <w:t>1</w:t>
      </w:r>
      <w:r>
        <w:t>, Zifeng Huang</w:t>
      </w:r>
      <w:r>
        <w:rPr>
          <w:vertAlign w:val="superscript"/>
        </w:rPr>
        <w:t>2</w:t>
      </w:r>
    </w:p>
    <w:p w:rsidR="00E656F6" w:rsidRPr="00370DD6" w:rsidRDefault="00E656F6" w:rsidP="00E656F6">
      <w:pPr>
        <w:rPr>
          <w:vertAlign w:val="superscript"/>
        </w:rPr>
      </w:pPr>
    </w:p>
    <w:p w:rsidR="00E656F6" w:rsidRDefault="00E656F6" w:rsidP="00E656F6">
      <w:pPr>
        <w:pStyle w:val="a5"/>
        <w:numPr>
          <w:ilvl w:val="0"/>
          <w:numId w:val="1"/>
        </w:numPr>
        <w:ind w:firstLineChars="0"/>
      </w:pPr>
      <w:r w:rsidRPr="00370DD6">
        <w:t>Department of Cardiology and Cardiovascular Intervention; Interventional Medical Center, The Fifth Affiliated Hospital of Sun Yat-sen University, Zhuhai 519000, P.R. China</w:t>
      </w:r>
    </w:p>
    <w:p w:rsidR="00FD7A88" w:rsidRPr="00E656F6" w:rsidRDefault="00E656F6" w:rsidP="00E656F6">
      <w:pPr>
        <w:pStyle w:val="a5"/>
        <w:numPr>
          <w:ilvl w:val="0"/>
          <w:numId w:val="1"/>
        </w:numPr>
        <w:ind w:firstLineChars="0"/>
      </w:pPr>
      <w:r w:rsidRPr="00E656F6">
        <w:t>Jinan University, Guangzhou 510630, China</w:t>
      </w:r>
    </w:p>
    <w:p w:rsidR="00FD7A88" w:rsidRDefault="00FD7A88" w:rsidP="00FD7A88">
      <w:pPr>
        <w:rPr>
          <w:rFonts w:ascii="Calibri" w:eastAsia="宋体" w:hAnsi="Calibri" w:cs="Times New Roman"/>
          <w:szCs w:val="24"/>
        </w:rPr>
      </w:pPr>
    </w:p>
    <w:p w:rsidR="00FD7A88" w:rsidRDefault="00FD7A88" w:rsidP="00FD7A88">
      <w:pPr>
        <w:rPr>
          <w:color w:val="BF5A14"/>
        </w:rPr>
      </w:pPr>
      <w:r>
        <w:rPr>
          <w:color w:val="BF5A14"/>
        </w:rPr>
        <w:t>Abstract</w:t>
      </w:r>
    </w:p>
    <w:p w:rsidR="00FD7A88" w:rsidRDefault="00FD7A88" w:rsidP="00FD7A88">
      <w:pPr>
        <w:spacing w:line="360" w:lineRule="auto"/>
        <w:rPr>
          <w:rFonts w:ascii="Times New Roman" w:eastAsia="Calibri" w:hAnsi="Times New Roman" w:cs="Calibri"/>
          <w:sz w:val="24"/>
        </w:rPr>
      </w:pPr>
      <w:bookmarkStart w:id="5" w:name="OLE_LINK14"/>
      <w:bookmarkStart w:id="6" w:name="OLE_LINK23"/>
      <w:r w:rsidRPr="00580DCF">
        <w:rPr>
          <w:rFonts w:ascii="Times New Roman" w:hAnsi="Times New Roman"/>
          <w:b/>
          <w:bCs/>
          <w:sz w:val="24"/>
        </w:rPr>
        <w:t>Background</w:t>
      </w:r>
      <w:bookmarkEnd w:id="5"/>
      <w:r w:rsidRPr="00580DCF">
        <w:rPr>
          <w:rFonts w:ascii="Times New Roman" w:hAnsi="Times New Roman"/>
          <w:b/>
          <w:bCs/>
          <w:sz w:val="24"/>
        </w:rPr>
        <w:t>:</w:t>
      </w:r>
      <w:r>
        <w:rPr>
          <w:rFonts w:ascii="Times New Roman" w:hAnsi="Times New Roman"/>
          <w:sz w:val="24"/>
        </w:rPr>
        <w:t xml:space="preserve"> Sudden cardiac death (SCD) induced by malignant ventricular tachycardia (MVT) among young adults with arrhythmogenic right ventricular cardiomyopathy/dysplasia (ARVC/D) is a </w:t>
      </w:r>
      <w:bookmarkStart w:id="7" w:name="OLE_LINK38"/>
      <w:bookmarkStart w:id="8" w:name="OLE_LINK37"/>
      <w:r>
        <w:rPr>
          <w:rFonts w:ascii="Times New Roman" w:hAnsi="Times New Roman"/>
          <w:sz w:val="24"/>
        </w:rPr>
        <w:t>devastating</w:t>
      </w:r>
      <w:bookmarkEnd w:id="7"/>
      <w:bookmarkEnd w:id="8"/>
      <w:r>
        <w:rPr>
          <w:rFonts w:ascii="Times New Roman" w:hAnsi="Times New Roman"/>
          <w:sz w:val="24"/>
        </w:rPr>
        <w:t xml:space="preserve"> event. Parts of ARVC/D patients have a mutation in genes encoding components of cardiac desmosomes, such as desmoglein-2 (DSG2), plakophilin-2 and desmoplakin. </w:t>
      </w:r>
    </w:p>
    <w:p w:rsidR="00FD7A88" w:rsidRPr="00FD7A88" w:rsidRDefault="00FD7A88" w:rsidP="00FD7A88">
      <w:pPr>
        <w:spacing w:line="360" w:lineRule="auto"/>
        <w:rPr>
          <w:rFonts w:ascii="Times New Roman" w:hAnsi="Times New Roman"/>
          <w:bCs/>
          <w:sz w:val="24"/>
        </w:rPr>
      </w:pPr>
      <w:bookmarkStart w:id="9" w:name="OLE_LINK21"/>
      <w:bookmarkStart w:id="10" w:name="OLE_LINK18"/>
      <w:r w:rsidRPr="00580DCF">
        <w:rPr>
          <w:rFonts w:ascii="Times New Roman" w:hAnsi="Times New Roman"/>
          <w:b/>
          <w:bCs/>
          <w:sz w:val="24"/>
        </w:rPr>
        <w:t>Case presentation:</w:t>
      </w:r>
      <w:r>
        <w:rPr>
          <w:rFonts w:ascii="Times New Roman" w:hAnsi="Times New Roman"/>
          <w:bCs/>
          <w:sz w:val="24"/>
        </w:rPr>
        <w:t xml:space="preserve"> Here we report a potentially pathogenic mutation </w:t>
      </w:r>
      <w:r>
        <w:rPr>
          <w:rFonts w:ascii="Times New Roman" w:hAnsi="Times New Roman"/>
          <w:sz w:val="24"/>
        </w:rPr>
        <w:t xml:space="preserve">in the </w:t>
      </w:r>
      <w:r>
        <w:rPr>
          <w:rFonts w:ascii="Times New Roman" w:hAnsi="Times New Roman"/>
          <w:i/>
          <w:sz w:val="24"/>
        </w:rPr>
        <w:t>DSG2</w:t>
      </w:r>
      <w:r>
        <w:rPr>
          <w:rFonts w:ascii="Times New Roman" w:hAnsi="Times New Roman"/>
          <w:sz w:val="24"/>
        </w:rPr>
        <w:t xml:space="preserve"> gene</w:t>
      </w:r>
      <w:r>
        <w:rPr>
          <w:rFonts w:ascii="Times New Roman" w:hAnsi="Times New Roman"/>
          <w:bCs/>
          <w:sz w:val="24"/>
        </w:rPr>
        <w:t>, whic</w:t>
      </w:r>
      <w:r w:rsidRPr="00FD7A88">
        <w:rPr>
          <w:rFonts w:ascii="Times New Roman" w:hAnsi="Times New Roman"/>
          <w:bCs/>
          <w:sz w:val="24"/>
        </w:rPr>
        <w:t xml:space="preserve">h was identified in a family with </w:t>
      </w:r>
      <w:r w:rsidRPr="00FD7A88">
        <w:rPr>
          <w:rFonts w:ascii="Times New Roman" w:hAnsi="Times New Roman"/>
          <w:sz w:val="24"/>
        </w:rPr>
        <w:t>ARVC/D using Whole Exome Sequencing (WES) and Sanger Sequencing</w:t>
      </w:r>
      <w:r w:rsidRPr="00FD7A88">
        <w:rPr>
          <w:rFonts w:ascii="Times New Roman" w:hAnsi="Times New Roman"/>
          <w:bCs/>
          <w:sz w:val="24"/>
        </w:rPr>
        <w:t xml:space="preserve">. </w:t>
      </w:r>
      <w:r w:rsidRPr="00FD7A88">
        <w:rPr>
          <w:rFonts w:ascii="Times New Roman" w:hAnsi="Times New Roman"/>
          <w:sz w:val="24"/>
        </w:rPr>
        <w:t>In all,</w:t>
      </w:r>
      <w:r w:rsidRPr="00FD7A88">
        <w:rPr>
          <w:rFonts w:ascii="Times New Roman" w:hAnsi="Times New Roman"/>
          <w:bCs/>
          <w:sz w:val="24"/>
        </w:rPr>
        <w:t xml:space="preserve"> </w:t>
      </w:r>
      <w:r w:rsidRPr="00FD7A88">
        <w:rPr>
          <w:rFonts w:ascii="Times New Roman" w:hAnsi="Times New Roman"/>
          <w:sz w:val="24"/>
        </w:rPr>
        <w:t xml:space="preserve">Patient III:1 with ARVC/D carried the compound heterozygous mutations of DSG2 p.F531C and KCNE5 p.D92E/E93X, which were both inherited from her mother (II:2), who died of SCD. Carriers of </w:t>
      </w:r>
      <w:r w:rsidRPr="00FD7A88">
        <w:rPr>
          <w:rFonts w:ascii="Times New Roman" w:hAnsi="Times New Roman"/>
          <w:i/>
          <w:sz w:val="24"/>
        </w:rPr>
        <w:t>DSG2</w:t>
      </w:r>
      <w:r w:rsidRPr="00FD7A88">
        <w:rPr>
          <w:rFonts w:ascii="Times New Roman" w:hAnsi="Times New Roman"/>
          <w:sz w:val="24"/>
        </w:rPr>
        <w:t xml:space="preserve"> </w:t>
      </w:r>
      <w:r w:rsidRPr="00FD7A88">
        <w:rPr>
          <w:rFonts w:ascii="Times New Roman" w:hAnsi="Times New Roman"/>
          <w:i/>
          <w:sz w:val="24"/>
        </w:rPr>
        <w:t>p.F531C</w:t>
      </w:r>
      <w:r w:rsidRPr="00FD7A88">
        <w:rPr>
          <w:rFonts w:ascii="Times New Roman" w:hAnsi="Times New Roman"/>
          <w:sz w:val="24"/>
        </w:rPr>
        <w:t xml:space="preserve"> showed various phenotypes, such as ARVC/D, SCD, MVT and dilated cardiomyopathy. For III:1, there were significant low-voltage regions in the inferior-apical, inferior-lateral wall of the right ventricular epicardium and outflow tracts of the right ventricle. Under the guidance of a three-dimensional mapping system, MVT was successfully ablated with an epicardial</w:t>
      </w:r>
      <w:r w:rsidRPr="00FD7A88">
        <w:rPr>
          <w:rFonts w:ascii="Helvetica" w:eastAsia="Helvetica" w:hAnsi="Helvetica" w:cs="Helvetica"/>
          <w:sz w:val="24"/>
        </w:rPr>
        <w:t>–</w:t>
      </w:r>
      <w:r w:rsidRPr="00FD7A88">
        <w:rPr>
          <w:rFonts w:ascii="Times New Roman" w:hAnsi="Times New Roman"/>
          <w:sz w:val="24"/>
        </w:rPr>
        <w:t xml:space="preserve">endocardial approach targeting for late, double or fragmental potentials after implantable cardioverter-defibrillator electrical storms. </w:t>
      </w:r>
      <w:bookmarkStart w:id="11" w:name="OLE_LINK40"/>
      <w:bookmarkStart w:id="12" w:name="OLE_LINK39"/>
      <w:r w:rsidRPr="00FD7A88">
        <w:rPr>
          <w:rFonts w:ascii="Times New Roman" w:hAnsi="Times New Roman"/>
          <w:sz w:val="24"/>
        </w:rPr>
        <w:t>No VT recurrence was observed during the one year of follow-up</w:t>
      </w:r>
      <w:bookmarkEnd w:id="11"/>
      <w:bookmarkEnd w:id="12"/>
      <w:r w:rsidRPr="00FD7A88">
        <w:rPr>
          <w:rFonts w:ascii="Times New Roman" w:hAnsi="Times New Roman"/>
          <w:sz w:val="24"/>
        </w:rPr>
        <w:t>.</w:t>
      </w:r>
    </w:p>
    <w:bookmarkEnd w:id="9"/>
    <w:bookmarkEnd w:id="10"/>
    <w:p w:rsidR="00FD7A88" w:rsidRPr="00580DCF" w:rsidRDefault="00FD7A88" w:rsidP="00580DCF">
      <w:pPr>
        <w:spacing w:line="360" w:lineRule="auto"/>
        <w:rPr>
          <w:rFonts w:ascii="Times New Roman" w:hAnsi="Times New Roman"/>
          <w:sz w:val="24"/>
        </w:rPr>
      </w:pPr>
      <w:r w:rsidRPr="00580DCF">
        <w:rPr>
          <w:rFonts w:ascii="Times New Roman" w:hAnsi="Times New Roman"/>
          <w:b/>
          <w:bCs/>
          <w:sz w:val="24"/>
        </w:rPr>
        <w:t>Conclusions:</w:t>
      </w:r>
      <w:r w:rsidRPr="00FD7A88">
        <w:rPr>
          <w:rFonts w:ascii="Times New Roman" w:hAnsi="Times New Roman"/>
          <w:sz w:val="24"/>
        </w:rPr>
        <w:t xml:space="preserve"> When coexisting with heterozygous KCNE5 p.D92E/E93X, heterozygous </w:t>
      </w:r>
      <w:r w:rsidRPr="00FD7A88">
        <w:rPr>
          <w:rFonts w:ascii="Times New Roman" w:hAnsi="Times New Roman"/>
          <w:i/>
          <w:sz w:val="24"/>
        </w:rPr>
        <w:t>DSG2 p.F531C</w:t>
      </w:r>
      <w:r w:rsidRPr="00FD7A88">
        <w:rPr>
          <w:rFonts w:ascii="Times New Roman" w:hAnsi="Times New Roman"/>
          <w:sz w:val="24"/>
        </w:rPr>
        <w:t xml:space="preserve"> as a genetic background was found to predispose to ARVC/D, SCD and MVT, which were successfully ablated using an epicardial–</w:t>
      </w:r>
      <w:r w:rsidRPr="00FD7A88">
        <w:rPr>
          <w:rFonts w:ascii="Times New Roman" w:hAnsi="Times New Roman"/>
          <w:sz w:val="24"/>
        </w:rPr>
        <w:lastRenderedPageBreak/>
        <w:t>endocardial approac</w:t>
      </w:r>
      <w:bookmarkStart w:id="13" w:name="_GoBack"/>
      <w:bookmarkEnd w:id="13"/>
      <w:r w:rsidRPr="00FD7A88">
        <w:rPr>
          <w:rFonts w:ascii="Times New Roman" w:hAnsi="Times New Roman"/>
          <w:sz w:val="24"/>
        </w:rPr>
        <w:t>h.</w:t>
      </w:r>
      <w:bookmarkEnd w:id="6"/>
    </w:p>
    <w:sectPr w:rsidR="00FD7A88" w:rsidRPr="00580D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28F" w:rsidRDefault="0035128F" w:rsidP="00FD7A88">
      <w:r>
        <w:separator/>
      </w:r>
    </w:p>
  </w:endnote>
  <w:endnote w:type="continuationSeparator" w:id="0">
    <w:p w:rsidR="0035128F" w:rsidRDefault="0035128F" w:rsidP="00FD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28F" w:rsidRDefault="0035128F" w:rsidP="00FD7A88">
      <w:r>
        <w:separator/>
      </w:r>
    </w:p>
  </w:footnote>
  <w:footnote w:type="continuationSeparator" w:id="0">
    <w:p w:rsidR="0035128F" w:rsidRDefault="0035128F" w:rsidP="00FD7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F43EEA"/>
    <w:multiLevelType w:val="hybridMultilevel"/>
    <w:tmpl w:val="7034E5EC"/>
    <w:lvl w:ilvl="0" w:tplc="C82CFC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0DF48528-7FC1-4F22-B496-4469FCAF692C}"/>
    <w:docVar w:name="KY_MEDREF_VERSION" w:val="3"/>
  </w:docVars>
  <w:rsids>
    <w:rsidRoot w:val="00E03CAC"/>
    <w:rsid w:val="001338BB"/>
    <w:rsid w:val="00172AFB"/>
    <w:rsid w:val="0035128F"/>
    <w:rsid w:val="004A14B0"/>
    <w:rsid w:val="00580DCF"/>
    <w:rsid w:val="00AC6BEA"/>
    <w:rsid w:val="00E03CAC"/>
    <w:rsid w:val="00E656F6"/>
    <w:rsid w:val="00FD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3A998F-1A95-4950-99D3-ACF0E8ED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1"/>
    <w:qFormat/>
    <w:rsid w:val="00FD7A88"/>
    <w:pPr>
      <w:spacing w:before="47" w:line="400" w:lineRule="exact"/>
      <w:ind w:left="100"/>
      <w:jc w:val="left"/>
      <w:outlineLvl w:val="0"/>
    </w:pPr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7A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7A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7A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7A88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FD7A88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paragraph" w:styleId="a5">
    <w:name w:val="List Paragraph"/>
    <w:basedOn w:val="a"/>
    <w:qFormat/>
    <w:rsid w:val="00E656F6"/>
    <w:pPr>
      <w:ind w:firstLineChars="200" w:firstLine="420"/>
    </w:pPr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Cheefong Wong</dc:creator>
  <cp:keywords/>
  <dc:description/>
  <cp:lastModifiedBy>Cheefong Wong</cp:lastModifiedBy>
  <cp:revision>5</cp:revision>
  <dcterms:created xsi:type="dcterms:W3CDTF">2018-03-05T05:21:00Z</dcterms:created>
  <dcterms:modified xsi:type="dcterms:W3CDTF">2018-03-05T08:49:00Z</dcterms:modified>
</cp:coreProperties>
</file>