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F7604" w14:textId="77777777" w:rsidR="00C01CD3" w:rsidRPr="00C01CD3" w:rsidRDefault="00C01CD3" w:rsidP="00C01CD3">
      <w:pPr>
        <w:rPr>
          <w:b/>
          <w:bCs/>
        </w:rPr>
      </w:pPr>
      <w:r w:rsidRPr="00C01CD3">
        <w:rPr>
          <w:b/>
          <w:bCs/>
        </w:rPr>
        <w:t xml:space="preserve">Optical Coherence Characteristics of Suspected Hypersensitivity Reaction Following </w:t>
      </w:r>
      <w:proofErr w:type="spellStart"/>
      <w:r w:rsidRPr="00C01CD3">
        <w:rPr>
          <w:b/>
          <w:bCs/>
        </w:rPr>
        <w:t>Ultimaster</w:t>
      </w:r>
      <w:proofErr w:type="spellEnd"/>
      <w:r w:rsidRPr="00C01CD3">
        <w:rPr>
          <w:b/>
          <w:bCs/>
        </w:rPr>
        <w:t xml:space="preserve"> Drug-Eluting Stent Implantation </w:t>
      </w:r>
    </w:p>
    <w:p w14:paraId="068F40D0" w14:textId="77777777" w:rsidR="00C01CD3" w:rsidRPr="00C01CD3" w:rsidRDefault="00C01CD3" w:rsidP="00C01CD3">
      <w:pPr>
        <w:rPr>
          <w:b/>
          <w:bCs/>
        </w:rPr>
      </w:pPr>
    </w:p>
    <w:p w14:paraId="40B6185F" w14:textId="6ACEEF87" w:rsidR="00C01CD3" w:rsidRPr="00C01CD3" w:rsidRDefault="00C01CD3" w:rsidP="00C01CD3">
      <w:pPr>
        <w:jc w:val="both"/>
      </w:pPr>
      <w:r w:rsidRPr="00C01CD3">
        <w:t xml:space="preserve">The number of </w:t>
      </w:r>
      <w:proofErr w:type="spellStart"/>
      <w:r w:rsidRPr="00C01CD3">
        <w:t>bioresorbable</w:t>
      </w:r>
      <w:proofErr w:type="spellEnd"/>
      <w:r w:rsidRPr="00C01CD3">
        <w:t xml:space="preserve"> polymer coating stents that are commercially available is increasing. They present some potential benefits by eliminating the need fo</w:t>
      </w:r>
      <w:r>
        <w:t>r long-term polymer exposure as</w:t>
      </w:r>
      <w:r w:rsidRPr="00C01CD3">
        <w:t xml:space="preserve"> well as other appealing characteristics that facilitate and enhance endothelial coverage.  </w:t>
      </w:r>
    </w:p>
    <w:p w14:paraId="24D1BFD1" w14:textId="77777777" w:rsidR="00C01CD3" w:rsidRPr="00C01CD3" w:rsidRDefault="00C01CD3" w:rsidP="00C01CD3">
      <w:pPr>
        <w:jc w:val="both"/>
      </w:pPr>
    </w:p>
    <w:p w14:paraId="1DB87D75" w14:textId="77777777" w:rsidR="00C01CD3" w:rsidRPr="00C01CD3" w:rsidRDefault="00C01CD3" w:rsidP="00C01CD3">
      <w:pPr>
        <w:jc w:val="both"/>
      </w:pPr>
      <w:r w:rsidRPr="00C01CD3">
        <w:t xml:space="preserve">Since </w:t>
      </w:r>
      <w:proofErr w:type="spellStart"/>
      <w:r w:rsidRPr="00C01CD3">
        <w:t>it’s</w:t>
      </w:r>
      <w:proofErr w:type="spellEnd"/>
      <w:r w:rsidRPr="00C01CD3">
        <w:t xml:space="preserve"> launch, several trails looked into the safety and efficacy of the </w:t>
      </w:r>
      <w:proofErr w:type="spellStart"/>
      <w:r w:rsidRPr="00C01CD3">
        <w:t>bioresorbable</w:t>
      </w:r>
      <w:proofErr w:type="spellEnd"/>
      <w:r w:rsidRPr="00C01CD3">
        <w:t xml:space="preserve"> stents. In 2014, the Century II trial compared the </w:t>
      </w:r>
      <w:proofErr w:type="spellStart"/>
      <w:r w:rsidRPr="00C01CD3">
        <w:t>Ultimaster</w:t>
      </w:r>
      <w:proofErr w:type="spellEnd"/>
      <w:r w:rsidRPr="00C01CD3">
        <w:t xml:space="preserve"> with </w:t>
      </w:r>
      <w:proofErr w:type="spellStart"/>
      <w:r w:rsidRPr="00C01CD3">
        <w:t>Xience</w:t>
      </w:r>
      <w:proofErr w:type="spellEnd"/>
      <w:r w:rsidRPr="00C01CD3">
        <w:t xml:space="preserve"> </w:t>
      </w:r>
      <w:proofErr w:type="spellStart"/>
      <w:r w:rsidRPr="00C01CD3">
        <w:t>Everolimus</w:t>
      </w:r>
      <w:proofErr w:type="spellEnd"/>
      <w:r w:rsidRPr="00C01CD3">
        <w:t xml:space="preserve">-eluting stent with the circumferentially-coated durable polymer (Abbot Vascular). This trial concluded that the </w:t>
      </w:r>
      <w:proofErr w:type="spellStart"/>
      <w:r w:rsidRPr="00C01CD3">
        <w:t>Ultimaster</w:t>
      </w:r>
      <w:proofErr w:type="spellEnd"/>
      <w:r w:rsidRPr="00C01CD3">
        <w:t xml:space="preserve"> is non-inferior to </w:t>
      </w:r>
      <w:proofErr w:type="spellStart"/>
      <w:r w:rsidRPr="00C01CD3">
        <w:t>Xience</w:t>
      </w:r>
      <w:proofErr w:type="spellEnd"/>
      <w:r w:rsidRPr="00C01CD3">
        <w:t xml:space="preserve"> </w:t>
      </w:r>
      <w:proofErr w:type="spellStart"/>
      <w:r w:rsidRPr="00C01CD3">
        <w:t>Everolimus</w:t>
      </w:r>
      <w:proofErr w:type="spellEnd"/>
      <w:r w:rsidRPr="00C01CD3">
        <w:t xml:space="preserve"> DES in its primary endpoint which was target vessel failure TVF. In another word, it showed excellent performance at a low rate of risk events.</w:t>
      </w:r>
    </w:p>
    <w:p w14:paraId="49B1C4C0" w14:textId="77777777" w:rsidR="00C01CD3" w:rsidRPr="00C01CD3" w:rsidRDefault="00C01CD3" w:rsidP="00C01CD3">
      <w:pPr>
        <w:jc w:val="both"/>
      </w:pPr>
    </w:p>
    <w:p w14:paraId="43D5CC05" w14:textId="77777777" w:rsidR="00C01CD3" w:rsidRPr="00C01CD3" w:rsidRDefault="00C01CD3" w:rsidP="00C01CD3">
      <w:pPr>
        <w:jc w:val="both"/>
      </w:pPr>
      <w:r w:rsidRPr="00C01CD3">
        <w:t xml:space="preserve">However, less is known regarding the effect of these new devices. In particular, the type of ISR and how it’s different regarding time course, morphology and more importantly in the clinical events. </w:t>
      </w:r>
    </w:p>
    <w:p w14:paraId="7C00C696" w14:textId="77777777" w:rsidR="00C01CD3" w:rsidRPr="00C01CD3" w:rsidRDefault="00C01CD3" w:rsidP="00C01CD3">
      <w:pPr>
        <w:jc w:val="both"/>
      </w:pPr>
    </w:p>
    <w:p w14:paraId="44CF627A" w14:textId="335C7A12" w:rsidR="00C01CD3" w:rsidRPr="00C01CD3" w:rsidRDefault="00C01CD3" w:rsidP="00C01CD3">
      <w:pPr>
        <w:jc w:val="both"/>
      </w:pPr>
      <w:r w:rsidRPr="00C01CD3">
        <w:t xml:space="preserve">A 59-year-old female presented to the cardiology clinic with a history of recent angina. Her risk factors included </w:t>
      </w:r>
      <w:proofErr w:type="spellStart"/>
      <w:r w:rsidRPr="00C01CD3">
        <w:t>dyslipidemia</w:t>
      </w:r>
      <w:proofErr w:type="spellEnd"/>
      <w:r w:rsidRPr="00C01CD3">
        <w:t xml:space="preserve">, type II diabetes mellitus and previous PCI to both the right coronary artery (RCA) with Terumo </w:t>
      </w:r>
      <w:proofErr w:type="spellStart"/>
      <w:r w:rsidRPr="00C01CD3">
        <w:t>Ultimaster</w:t>
      </w:r>
      <w:proofErr w:type="spellEnd"/>
      <w:r w:rsidRPr="00C01CD3">
        <w:t xml:space="preserve"> 2.5 x38 mm Stent and the Circumflex artery (CX) using Abbot </w:t>
      </w:r>
      <w:proofErr w:type="spellStart"/>
      <w:r w:rsidRPr="00C01CD3">
        <w:t>X</w:t>
      </w:r>
      <w:r>
        <w:t>ience</w:t>
      </w:r>
      <w:proofErr w:type="spellEnd"/>
      <w:r>
        <w:t xml:space="preserve"> Pro 2.25 X23m for non-ST e</w:t>
      </w:r>
      <w:r w:rsidRPr="00C01CD3">
        <w:t xml:space="preserve">levation myocardial infarction in 2017. Stress echocardiogram proved reversible ischaemia in LAD and RCA regions and repeat catheterisation revealed an image </w:t>
      </w:r>
      <w:proofErr w:type="spellStart"/>
      <w:r w:rsidRPr="00C01CD3">
        <w:t>angiographically</w:t>
      </w:r>
      <w:proofErr w:type="spellEnd"/>
      <w:r w:rsidRPr="00C01CD3">
        <w:t xml:space="preserve"> compatible with significant in-stent restenosis (ISR) at mid-RCA stent; the CX showed moderate lesion just proximal to the previous stent which was widely patent and a severe proximal LAD disease. Surgical MDT was in favour of PCI as RCA anatomy distal to the stent is not </w:t>
      </w:r>
      <w:proofErr w:type="spellStart"/>
      <w:r w:rsidRPr="00C01CD3">
        <w:t>graftable</w:t>
      </w:r>
      <w:proofErr w:type="spellEnd"/>
      <w:r w:rsidRPr="00C01CD3">
        <w:t xml:space="preserve">.  For the RCA ISR treatment, we opted to perform Optical Coherence Tomography (OCT) for better characterisation of the lesion; this showed appropriate deployment of the stent, some areas with </w:t>
      </w:r>
      <w:proofErr w:type="spellStart"/>
      <w:r w:rsidRPr="00C01CD3">
        <w:t>microvessels</w:t>
      </w:r>
      <w:proofErr w:type="spellEnd"/>
      <w:r w:rsidRPr="00C01CD3">
        <w:t xml:space="preserve"> and per-strut low-intensity signals suggestive of endothelial dysfun</w:t>
      </w:r>
      <w:r w:rsidR="00F575E3">
        <w:t xml:space="preserve">ction, intimal hyperplasia with </w:t>
      </w:r>
      <w:r w:rsidRPr="00C01CD3">
        <w:t>interestingly focal areas of inflammation suggestive o</w:t>
      </w:r>
      <w:r w:rsidR="00F575E3">
        <w:t>f polymer hypersensitivity. The ISR</w:t>
      </w:r>
      <w:r w:rsidRPr="00C01CD3">
        <w:t xml:space="preserve"> was treated with DES pre-dilated for optimisation.</w:t>
      </w:r>
    </w:p>
    <w:p w14:paraId="6301B111" w14:textId="77777777" w:rsidR="00C01CD3" w:rsidRPr="00C01CD3" w:rsidRDefault="00C01CD3" w:rsidP="00C01CD3">
      <w:pPr>
        <w:jc w:val="both"/>
      </w:pPr>
    </w:p>
    <w:p w14:paraId="52F2D5B5" w14:textId="77777777" w:rsidR="00C01CD3" w:rsidRPr="00C01CD3" w:rsidRDefault="00C01CD3" w:rsidP="00C01CD3">
      <w:pPr>
        <w:jc w:val="both"/>
      </w:pPr>
      <w:r w:rsidRPr="00C01CD3">
        <w:t xml:space="preserve">The global literature and data on </w:t>
      </w:r>
      <w:proofErr w:type="spellStart"/>
      <w:r w:rsidRPr="00C01CD3">
        <w:t>Ultimaster</w:t>
      </w:r>
      <w:proofErr w:type="spellEnd"/>
      <w:r w:rsidRPr="00C01CD3">
        <w:t xml:space="preserve"> ISR and management (a paclitaxel-coated balloon, or a drug-eluting stent) are scarce, and to the very best of our knowledge, this case is one of the first descriptions of </w:t>
      </w:r>
      <w:proofErr w:type="spellStart"/>
      <w:r w:rsidRPr="00C01CD3">
        <w:t>Ultimaster</w:t>
      </w:r>
      <w:proofErr w:type="spellEnd"/>
      <w:r w:rsidRPr="00C01CD3">
        <w:t xml:space="preserve"> in-stent restenosis (or failure) secondary to possibly polymer allergic reaction. The use of intracoronary OCT imaging as an advanced imaging tool provided us with a unique opportunity to understand and manage complex and infrequent conditions like this one.</w:t>
      </w:r>
    </w:p>
    <w:p w14:paraId="48FD563F" w14:textId="77777777" w:rsidR="00C01CD3" w:rsidRPr="00C01CD3" w:rsidRDefault="00C01CD3" w:rsidP="00C01CD3">
      <w:pPr>
        <w:jc w:val="both"/>
      </w:pPr>
    </w:p>
    <w:p w14:paraId="39E29264" w14:textId="77777777" w:rsidR="00C01CD3" w:rsidRPr="00C01CD3" w:rsidRDefault="00C01CD3" w:rsidP="00C01CD3">
      <w:pPr>
        <w:jc w:val="both"/>
        <w:rPr>
          <w:b/>
          <w:bCs/>
        </w:rPr>
      </w:pPr>
    </w:p>
    <w:p w14:paraId="4416E88F" w14:textId="77777777" w:rsidR="00C01CD3" w:rsidRPr="00C01CD3" w:rsidRDefault="00C01CD3" w:rsidP="00C01CD3">
      <w:pPr>
        <w:jc w:val="both"/>
        <w:rPr>
          <w:b/>
          <w:bCs/>
        </w:rPr>
      </w:pPr>
    </w:p>
    <w:p w14:paraId="3DE494CF" w14:textId="77777777" w:rsidR="00C01CD3" w:rsidRPr="00C01CD3" w:rsidRDefault="00C01CD3" w:rsidP="00C01CD3">
      <w:pPr>
        <w:jc w:val="both"/>
        <w:rPr>
          <w:b/>
          <w:bCs/>
        </w:rPr>
      </w:pPr>
    </w:p>
    <w:p w14:paraId="4ADC9C41" w14:textId="1E9E1BA6" w:rsidR="00773429" w:rsidRDefault="00EE78ED" w:rsidP="00721218">
      <w:pPr>
        <w:rPr>
          <w:rFonts w:ascii="Times New Roman" w:eastAsia="Times New Roman" w:hAnsi="Times New Roman" w:cs="Times New Roman"/>
          <w:lang w:eastAsia="en-GB"/>
        </w:rPr>
      </w:pPr>
      <w:r>
        <w:rPr>
          <w:rFonts w:ascii="Times New Roman" w:eastAsia="Times New Roman" w:hAnsi="Times New Roman" w:cs="Times New Roman"/>
          <w:noProof/>
          <w:lang w:eastAsia="en-GB"/>
        </w:rPr>
        <w:lastRenderedPageBreak/>
        <w:drawing>
          <wp:inline distT="0" distB="0" distL="0" distR="0" wp14:anchorId="3A2BAD6D" wp14:editId="795DCD69">
            <wp:extent cx="5723255" cy="5494655"/>
            <wp:effectExtent l="0" t="0" r="0" b="0"/>
            <wp:docPr id="7" name="Picture 7" descr="Screen%20Shot%202018-07-15%20at%2020.2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7-15%20at%2020.27.1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255" cy="5494655"/>
                    </a:xfrm>
                    <a:prstGeom prst="rect">
                      <a:avLst/>
                    </a:prstGeom>
                    <a:noFill/>
                    <a:ln>
                      <a:noFill/>
                    </a:ln>
                  </pic:spPr>
                </pic:pic>
              </a:graphicData>
            </a:graphic>
          </wp:inline>
        </w:drawing>
      </w:r>
    </w:p>
    <w:p w14:paraId="3297755D" w14:textId="77777777" w:rsidR="00EE78ED" w:rsidRDefault="00EE78ED" w:rsidP="00721218">
      <w:pPr>
        <w:rPr>
          <w:rFonts w:ascii="Times New Roman" w:eastAsia="Times New Roman" w:hAnsi="Times New Roman" w:cs="Times New Roman"/>
          <w:lang w:eastAsia="en-GB"/>
        </w:rPr>
      </w:pPr>
    </w:p>
    <w:p w14:paraId="777E4441" w14:textId="77777777" w:rsidR="00EE78ED" w:rsidRDefault="00EE78ED" w:rsidP="00721218">
      <w:pPr>
        <w:rPr>
          <w:rFonts w:ascii="Times New Roman" w:eastAsia="Times New Roman" w:hAnsi="Times New Roman" w:cs="Times New Roman"/>
          <w:lang w:eastAsia="en-GB"/>
        </w:rPr>
      </w:pPr>
    </w:p>
    <w:p w14:paraId="420D58CA" w14:textId="6E6310B0" w:rsidR="00EE78ED" w:rsidRDefault="000B2707" w:rsidP="00721218">
      <w:pPr>
        <w:rPr>
          <w:rFonts w:ascii="Times New Roman" w:eastAsia="Times New Roman" w:hAnsi="Times New Roman" w:cs="Times New Roman"/>
          <w:lang w:eastAsia="en-GB"/>
        </w:rPr>
      </w:pPr>
      <w:bookmarkStart w:id="0" w:name="_GoBack"/>
      <w:r>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69842ECA" wp14:editId="771B43A5">
                <wp:simplePos x="0" y="0"/>
                <wp:positionH relativeFrom="column">
                  <wp:posOffset>2108835</wp:posOffset>
                </wp:positionH>
                <wp:positionV relativeFrom="paragraph">
                  <wp:posOffset>1602740</wp:posOffset>
                </wp:positionV>
                <wp:extent cx="457200" cy="0"/>
                <wp:effectExtent l="25400" t="76200" r="0" b="101600"/>
                <wp:wrapNone/>
                <wp:docPr id="1" name="Straight Arrow Connector 1"/>
                <wp:cNvGraphicFramePr/>
                <a:graphic xmlns:a="http://schemas.openxmlformats.org/drawingml/2006/main">
                  <a:graphicData uri="http://schemas.microsoft.com/office/word/2010/wordprocessingShape">
                    <wps:wsp>
                      <wps:cNvCnPr/>
                      <wps:spPr>
                        <a:xfrm flipH="1">
                          <a:off x="0" y="0"/>
                          <a:ext cx="4572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B3E2DB" id="_x0000_t32" coordsize="21600,21600" o:spt="32" o:oned="t" path="m0,0l21600,21600e" filled="f">
                <v:path arrowok="t" fillok="f" o:connecttype="none"/>
                <o:lock v:ext="edit" shapetype="t"/>
              </v:shapetype>
              <v:shape id="Straight Arrow Connector 1" o:spid="_x0000_s1026" type="#_x0000_t32" style="position:absolute;margin-left:166.05pt;margin-top:126.2pt;width:36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" strokecolor="#4472c4 [3204]" strokeweight=".5pt">
                <v:stroke endarrow="block" joinstyle="miter"/>
              </v:shape>
            </w:pict>
          </mc:Fallback>
        </mc:AlternateContent>
      </w:r>
      <w:r w:rsidR="00EE78ED">
        <w:rPr>
          <w:rFonts w:ascii="Times New Roman" w:eastAsia="Times New Roman" w:hAnsi="Times New Roman" w:cs="Times New Roman"/>
          <w:noProof/>
          <w:lang w:eastAsia="en-GB"/>
        </w:rPr>
        <w:drawing>
          <wp:inline distT="0" distB="0" distL="0" distR="0" wp14:anchorId="3F7DEF5C" wp14:editId="330C8D64">
            <wp:extent cx="5715000" cy="4961255"/>
            <wp:effectExtent l="0" t="0" r="0" b="0"/>
            <wp:docPr id="8" name="Picture 8" descr="Screen%20Shot%202018-07-15%20at%2020.26.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7-15%20at%2020.26.4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961255"/>
                    </a:xfrm>
                    <a:prstGeom prst="rect">
                      <a:avLst/>
                    </a:prstGeom>
                    <a:noFill/>
                    <a:ln>
                      <a:noFill/>
                    </a:ln>
                  </pic:spPr>
                </pic:pic>
              </a:graphicData>
            </a:graphic>
          </wp:inline>
        </w:drawing>
      </w:r>
    </w:p>
    <w:bookmarkEnd w:id="0"/>
    <w:p w14:paraId="1F6C72E0" w14:textId="77777777" w:rsidR="00EE78ED" w:rsidRDefault="00EE78ED" w:rsidP="00721218">
      <w:pPr>
        <w:rPr>
          <w:rFonts w:ascii="Times New Roman" w:eastAsia="Times New Roman" w:hAnsi="Times New Roman" w:cs="Times New Roman"/>
          <w:lang w:eastAsia="en-GB"/>
        </w:rPr>
      </w:pPr>
    </w:p>
    <w:p w14:paraId="5324D17D" w14:textId="00A7346A" w:rsidR="00EE78ED" w:rsidRDefault="00EE78ED" w:rsidP="00721218">
      <w:pPr>
        <w:rPr>
          <w:rFonts w:ascii="Times New Roman" w:eastAsia="Times New Roman" w:hAnsi="Times New Roman" w:cs="Times New Roman"/>
          <w:lang w:eastAsia="en-GB"/>
        </w:rPr>
      </w:pPr>
      <w:r>
        <w:rPr>
          <w:rFonts w:ascii="Times New Roman" w:eastAsia="Times New Roman" w:hAnsi="Times New Roman" w:cs="Times New Roman"/>
          <w:noProof/>
          <w:lang w:eastAsia="en-GB"/>
        </w:rPr>
        <mc:AlternateContent>
          <mc:Choice Requires="wps">
            <w:drawing>
              <wp:anchor distT="0" distB="0" distL="114300" distR="114300" simplePos="0" relativeHeight="251660288" behindDoc="0" locked="0" layoutInCell="1" allowOverlap="1" wp14:anchorId="299284DA" wp14:editId="63744BCA">
                <wp:simplePos x="0" y="0"/>
                <wp:positionH relativeFrom="column">
                  <wp:posOffset>3023235</wp:posOffset>
                </wp:positionH>
                <wp:positionV relativeFrom="paragraph">
                  <wp:posOffset>3774440</wp:posOffset>
                </wp:positionV>
                <wp:extent cx="342900" cy="228600"/>
                <wp:effectExtent l="50800" t="50800" r="38100" b="25400"/>
                <wp:wrapNone/>
                <wp:docPr id="14" name="Straight Arrow Connector 14"/>
                <wp:cNvGraphicFramePr/>
                <a:graphic xmlns:a="http://schemas.openxmlformats.org/drawingml/2006/main">
                  <a:graphicData uri="http://schemas.microsoft.com/office/word/2010/wordprocessingShape">
                    <wps:wsp>
                      <wps:cNvCnPr/>
                      <wps:spPr>
                        <a:xfrm flipH="1" flipV="1">
                          <a:off x="0" y="0"/>
                          <a:ext cx="342900" cy="2286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6303D037" id="_x0000_t32" coordsize="21600,21600" o:spt="32" o:oned="t" path="m0,0l21600,21600e" filled="f">
                <v:path arrowok="t" fillok="f" o:connecttype="none"/>
                <o:lock v:ext="edit" shapetype="t"/>
              </v:shapetype>
              <v:shape id="Straight Arrow Connector 14" o:spid="_x0000_s1026" type="#_x0000_t32" style="position:absolute;margin-left:238.05pt;margin-top:297.2pt;width:27pt;height:18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" strokecolor="black [3200]" strokeweight="1pt">
                <v:stroke endarrow="block" joinstyle="miter"/>
              </v:shape>
            </w:pict>
          </mc:Fallback>
        </mc:AlternateContent>
      </w:r>
      <w:r>
        <w:rPr>
          <w:rFonts w:ascii="Times New Roman" w:eastAsia="Times New Roman" w:hAnsi="Times New Roman" w:cs="Times New Roman"/>
          <w:noProof/>
          <w:lang w:eastAsia="en-GB"/>
        </w:rPr>
        <w:drawing>
          <wp:inline distT="0" distB="0" distL="0" distR="0" wp14:anchorId="0D2748CD" wp14:editId="5EBA7903">
            <wp:extent cx="5715000" cy="4597400"/>
            <wp:effectExtent l="0" t="0" r="0" b="0"/>
            <wp:docPr id="9" name="Picture 9" descr="Screen%20Shot%202018-07-15%20at%2020.2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7-15%20at%2020.25.5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597400"/>
                    </a:xfrm>
                    <a:prstGeom prst="rect">
                      <a:avLst/>
                    </a:prstGeom>
                    <a:noFill/>
                    <a:ln>
                      <a:noFill/>
                    </a:ln>
                  </pic:spPr>
                </pic:pic>
              </a:graphicData>
            </a:graphic>
          </wp:inline>
        </w:drawing>
      </w:r>
    </w:p>
    <w:p w14:paraId="3D751D54" w14:textId="77777777" w:rsidR="00EE78ED" w:rsidRDefault="00EE78ED" w:rsidP="00721218">
      <w:pPr>
        <w:rPr>
          <w:rFonts w:ascii="Times New Roman" w:eastAsia="Times New Roman" w:hAnsi="Times New Roman" w:cs="Times New Roman"/>
          <w:lang w:eastAsia="en-GB"/>
        </w:rPr>
      </w:pPr>
    </w:p>
    <w:p w14:paraId="5256F739" w14:textId="77777777" w:rsidR="00EE78ED" w:rsidRDefault="00EE78ED" w:rsidP="00721218">
      <w:pPr>
        <w:rPr>
          <w:rFonts w:ascii="Times New Roman" w:eastAsia="Times New Roman" w:hAnsi="Times New Roman" w:cs="Times New Roman"/>
          <w:lang w:eastAsia="en-GB"/>
        </w:rPr>
      </w:pPr>
    </w:p>
    <w:p w14:paraId="6D5739B2" w14:textId="4543B627" w:rsidR="00EE78ED" w:rsidRDefault="00EE78ED" w:rsidP="00EE78ED">
      <w:pPr>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inline distT="0" distB="0" distL="0" distR="0" wp14:anchorId="51AFCA03" wp14:editId="5FE5B8BE">
            <wp:extent cx="5723255" cy="4885055"/>
            <wp:effectExtent l="0" t="0" r="0" b="0"/>
            <wp:docPr id="10" name="Picture 10" descr="Screen%20Shot%202018-07-15%20at%2012.1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18-07-15%20at%2012.18.5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4885055"/>
                    </a:xfrm>
                    <a:prstGeom prst="rect">
                      <a:avLst/>
                    </a:prstGeom>
                    <a:noFill/>
                    <a:ln>
                      <a:noFill/>
                    </a:ln>
                  </pic:spPr>
                </pic:pic>
              </a:graphicData>
            </a:graphic>
          </wp:inline>
        </w:drawing>
      </w:r>
      <w:r>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2854E0CF" wp14:editId="4453FC28">
                <wp:simplePos x="0" y="0"/>
                <wp:positionH relativeFrom="column">
                  <wp:posOffset>2566035</wp:posOffset>
                </wp:positionH>
                <wp:positionV relativeFrom="paragraph">
                  <wp:posOffset>3200399</wp:posOffset>
                </wp:positionV>
                <wp:extent cx="689398" cy="45719"/>
                <wp:effectExtent l="50800" t="25400" r="22225" b="107315"/>
                <wp:wrapNone/>
                <wp:docPr id="12" name="Straight Arrow Connector 12"/>
                <wp:cNvGraphicFramePr/>
                <a:graphic xmlns:a="http://schemas.openxmlformats.org/drawingml/2006/main">
                  <a:graphicData uri="http://schemas.microsoft.com/office/word/2010/wordprocessingShape">
                    <wps:wsp>
                      <wps:cNvCnPr/>
                      <wps:spPr>
                        <a:xfrm flipH="1">
                          <a:off x="0" y="0"/>
                          <a:ext cx="689398" cy="45719"/>
                        </a:xfrm>
                        <a:prstGeom prst="straightConnector1">
                          <a:avLst/>
                        </a:prstGeom>
                        <a:ln>
                          <a:tailEnd type="triangle"/>
                        </a:ln>
                        <a:effectLst>
                          <a:innerShdw blurRad="63500" dist="101600" dir="13500000">
                            <a:prstClr val="black">
                              <a:alpha val="50000"/>
                            </a:prstClr>
                          </a:innerShdw>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955012" id="Straight Arrow Connector 12" o:spid="_x0000_s1026" type="#_x0000_t32" style="position:absolute;margin-left:202.05pt;margin-top:252pt;width:54.3pt;height:3.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" strokecolor="black [3200]" strokeweight="1.5pt">
                <v:stroke endarrow="block" joinstyle="miter"/>
              </v:shape>
            </w:pict>
          </mc:Fallback>
        </mc:AlternateContent>
      </w:r>
    </w:p>
    <w:p w14:paraId="40CE5C33" w14:textId="77777777" w:rsidR="00EE78ED" w:rsidRDefault="00EE78ED" w:rsidP="00721218">
      <w:pPr>
        <w:rPr>
          <w:rFonts w:ascii="Times New Roman" w:eastAsia="Times New Roman" w:hAnsi="Times New Roman" w:cs="Times New Roman"/>
          <w:lang w:eastAsia="en-GB"/>
        </w:rPr>
      </w:pPr>
    </w:p>
    <w:p w14:paraId="21DABB67" w14:textId="54E7E114" w:rsidR="00EE78ED" w:rsidRPr="00F3046B" w:rsidRDefault="00EE78ED" w:rsidP="00721218">
      <w:pPr>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inline distT="0" distB="0" distL="0" distR="0" wp14:anchorId="387E6182" wp14:editId="48A74AA8">
            <wp:extent cx="5723255" cy="4927600"/>
            <wp:effectExtent l="0" t="0" r="0" b="0"/>
            <wp:docPr id="11" name="Picture 11" descr="Screen%20Shot%202018-07-15%20at%2020.2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20Shot%202018-07-15%20at%2020.25.2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255" cy="4927600"/>
                    </a:xfrm>
                    <a:prstGeom prst="rect">
                      <a:avLst/>
                    </a:prstGeom>
                    <a:noFill/>
                    <a:ln>
                      <a:noFill/>
                    </a:ln>
                  </pic:spPr>
                </pic:pic>
              </a:graphicData>
            </a:graphic>
          </wp:inline>
        </w:drawing>
      </w:r>
    </w:p>
    <w:p w14:paraId="0C633D61" w14:textId="4BFE2099" w:rsidR="00840457" w:rsidRDefault="00840457"/>
    <w:p w14:paraId="531922B6" w14:textId="77777777" w:rsidR="000333CB" w:rsidRDefault="000333CB"/>
    <w:p w14:paraId="065592B0" w14:textId="77777777" w:rsidR="000333CB" w:rsidRDefault="000333CB"/>
    <w:p w14:paraId="578AAF28" w14:textId="77777777" w:rsidR="000333CB" w:rsidRDefault="000333CB" w:rsidP="000333CB">
      <w:pPr>
        <w:jc w:val="both"/>
      </w:pPr>
    </w:p>
    <w:p w14:paraId="7E6E684B" w14:textId="77777777" w:rsidR="000333CB" w:rsidRPr="003471DC" w:rsidRDefault="000333CB" w:rsidP="000333CB">
      <w:pPr>
        <w:jc w:val="both"/>
        <w:rPr>
          <w:rFonts w:asciiTheme="minorBidi" w:hAnsiTheme="minorBidi"/>
          <w:bCs/>
          <w:color w:val="000000" w:themeColor="text1"/>
          <w:sz w:val="20"/>
          <w:szCs w:val="20"/>
        </w:rPr>
      </w:pPr>
      <w:r w:rsidRPr="00244AB4">
        <w:rPr>
          <w:b/>
          <w:sz w:val="28"/>
          <w:szCs w:val="28"/>
        </w:rPr>
        <w:t xml:space="preserve">References </w:t>
      </w:r>
    </w:p>
    <w:p w14:paraId="7895427A" w14:textId="77777777" w:rsidR="00EE78ED" w:rsidRDefault="000B2707" w:rsidP="00EE78ED">
      <w:pPr>
        <w:pStyle w:val="ListParagraph"/>
        <w:numPr>
          <w:ilvl w:val="0"/>
          <w:numId w:val="1"/>
        </w:numPr>
        <w:spacing w:line="393" w:lineRule="atLeast"/>
        <w:textAlignment w:val="top"/>
        <w:rPr>
          <w:rStyle w:val="doi"/>
          <w:rFonts w:asciiTheme="minorBidi" w:eastAsia="Times New Roman" w:hAnsiTheme="minorBidi"/>
          <w:bCs/>
          <w:color w:val="000000" w:themeColor="text1"/>
          <w:sz w:val="20"/>
          <w:szCs w:val="20"/>
        </w:rPr>
      </w:pPr>
      <w:hyperlink r:id="rId10" w:history="1">
        <w:r w:rsidR="003471DC" w:rsidRPr="003471DC">
          <w:rPr>
            <w:rStyle w:val="Hyperlink"/>
            <w:rFonts w:asciiTheme="minorBidi" w:eastAsia="Times New Roman" w:hAnsiTheme="minorBidi"/>
            <w:bCs/>
            <w:color w:val="000000" w:themeColor="text1"/>
            <w:sz w:val="20"/>
            <w:szCs w:val="20"/>
            <w:u w:val="none"/>
          </w:rPr>
          <w:t xml:space="preserve">Alberto </w:t>
        </w:r>
        <w:proofErr w:type="spellStart"/>
        <w:r w:rsidR="003471DC" w:rsidRPr="003471DC">
          <w:rPr>
            <w:rStyle w:val="Hyperlink"/>
            <w:rFonts w:asciiTheme="minorBidi" w:eastAsia="Times New Roman" w:hAnsiTheme="minorBidi"/>
            <w:bCs/>
            <w:color w:val="000000" w:themeColor="text1"/>
            <w:sz w:val="20"/>
            <w:szCs w:val="20"/>
            <w:u w:val="none"/>
          </w:rPr>
          <w:t>Chisari</w:t>
        </w:r>
        <w:proofErr w:type="spellEnd"/>
      </w:hyperlink>
      <w:r w:rsidR="003471DC" w:rsidRPr="003471DC">
        <w:rPr>
          <w:rFonts w:asciiTheme="minorBidi" w:eastAsia="Times New Roman" w:hAnsiTheme="minorBidi"/>
          <w:bCs/>
          <w:color w:val="000000" w:themeColor="text1"/>
          <w:sz w:val="20"/>
          <w:szCs w:val="20"/>
        </w:rPr>
        <w:t xml:space="preserve"> et al. The </w:t>
      </w:r>
      <w:proofErr w:type="spellStart"/>
      <w:r w:rsidR="003471DC" w:rsidRPr="003471DC">
        <w:rPr>
          <w:rFonts w:asciiTheme="minorBidi" w:eastAsia="Times New Roman" w:hAnsiTheme="minorBidi"/>
          <w:bCs/>
          <w:color w:val="000000" w:themeColor="text1"/>
          <w:sz w:val="20"/>
          <w:szCs w:val="20"/>
        </w:rPr>
        <w:t>Ultimaster</w:t>
      </w:r>
      <w:proofErr w:type="spellEnd"/>
      <w:r w:rsidR="003471DC" w:rsidRPr="003471DC">
        <w:rPr>
          <w:rFonts w:asciiTheme="minorBidi" w:eastAsia="Times New Roman" w:hAnsiTheme="minorBidi"/>
          <w:bCs/>
          <w:color w:val="000000" w:themeColor="text1"/>
          <w:sz w:val="20"/>
          <w:szCs w:val="20"/>
        </w:rPr>
        <w:t xml:space="preserve"> Biodegradable-Polymer </w:t>
      </w:r>
      <w:proofErr w:type="spellStart"/>
      <w:r w:rsidR="003471DC" w:rsidRPr="003471DC">
        <w:rPr>
          <w:rFonts w:asciiTheme="minorBidi" w:eastAsia="Times New Roman" w:hAnsiTheme="minorBidi"/>
          <w:bCs/>
          <w:color w:val="000000" w:themeColor="text1"/>
          <w:sz w:val="20"/>
          <w:szCs w:val="20"/>
        </w:rPr>
        <w:t>Sirolimus</w:t>
      </w:r>
      <w:proofErr w:type="spellEnd"/>
      <w:r w:rsidR="003471DC" w:rsidRPr="003471DC">
        <w:rPr>
          <w:rFonts w:asciiTheme="minorBidi" w:eastAsia="Times New Roman" w:hAnsiTheme="minorBidi"/>
          <w:bCs/>
          <w:color w:val="000000" w:themeColor="text1"/>
          <w:sz w:val="20"/>
          <w:szCs w:val="20"/>
        </w:rPr>
        <w:t>-Eluting Stent: An Updated Review of Clinical Evidence.</w:t>
      </w:r>
      <w:r w:rsidR="003471DC" w:rsidRPr="003471DC">
        <w:rPr>
          <w:rStyle w:val="cit"/>
          <w:rFonts w:asciiTheme="minorBidi" w:eastAsia="Times New Roman" w:hAnsiTheme="minorBidi"/>
          <w:bCs/>
          <w:color w:val="000000" w:themeColor="text1"/>
          <w:sz w:val="20"/>
          <w:szCs w:val="20"/>
        </w:rPr>
        <w:t xml:space="preserve"> </w:t>
      </w:r>
      <w:hyperlink r:id="rId11" w:history="1">
        <w:proofErr w:type="spellStart"/>
        <w:r w:rsidR="003471DC" w:rsidRPr="003471DC">
          <w:rPr>
            <w:rStyle w:val="Hyperlink"/>
            <w:rFonts w:asciiTheme="minorBidi" w:eastAsia="Times New Roman" w:hAnsiTheme="minorBidi"/>
            <w:bCs/>
            <w:color w:val="000000" w:themeColor="text1"/>
            <w:sz w:val="20"/>
            <w:szCs w:val="20"/>
            <w:u w:val="none"/>
          </w:rPr>
          <w:t>Int</w:t>
        </w:r>
        <w:proofErr w:type="spellEnd"/>
        <w:r w:rsidR="003471DC" w:rsidRPr="003471DC">
          <w:rPr>
            <w:rStyle w:val="Hyperlink"/>
            <w:rFonts w:asciiTheme="minorBidi" w:eastAsia="Times New Roman" w:hAnsiTheme="minorBidi"/>
            <w:bCs/>
            <w:color w:val="000000" w:themeColor="text1"/>
            <w:sz w:val="20"/>
            <w:szCs w:val="20"/>
            <w:u w:val="none"/>
          </w:rPr>
          <w:t xml:space="preserve"> J </w:t>
        </w:r>
        <w:proofErr w:type="spellStart"/>
        <w:r w:rsidR="003471DC" w:rsidRPr="003471DC">
          <w:rPr>
            <w:rStyle w:val="Hyperlink"/>
            <w:rFonts w:asciiTheme="minorBidi" w:eastAsia="Times New Roman" w:hAnsiTheme="minorBidi"/>
            <w:bCs/>
            <w:color w:val="000000" w:themeColor="text1"/>
            <w:sz w:val="20"/>
            <w:szCs w:val="20"/>
            <w:u w:val="none"/>
          </w:rPr>
          <w:t>Mol</w:t>
        </w:r>
        <w:proofErr w:type="spellEnd"/>
        <w:r w:rsidR="003471DC" w:rsidRPr="003471DC">
          <w:rPr>
            <w:rStyle w:val="Hyperlink"/>
            <w:rFonts w:asciiTheme="minorBidi" w:eastAsia="Times New Roman" w:hAnsiTheme="minorBidi"/>
            <w:bCs/>
            <w:color w:val="000000" w:themeColor="text1"/>
            <w:sz w:val="20"/>
            <w:szCs w:val="20"/>
            <w:u w:val="none"/>
          </w:rPr>
          <w:t xml:space="preserve"> Sci</w:t>
        </w:r>
      </w:hyperlink>
      <w:proofErr w:type="gramStart"/>
      <w:r w:rsidR="003471DC" w:rsidRPr="003471DC">
        <w:rPr>
          <w:rStyle w:val="cit"/>
          <w:rFonts w:asciiTheme="minorBidi" w:eastAsia="Times New Roman" w:hAnsiTheme="minorBidi"/>
          <w:bCs/>
          <w:color w:val="000000" w:themeColor="text1"/>
          <w:sz w:val="20"/>
          <w:szCs w:val="20"/>
        </w:rPr>
        <w:t>.</w:t>
      </w:r>
      <w:r w:rsidR="003471DC" w:rsidRPr="003471DC">
        <w:rPr>
          <w:rStyle w:val="fm-vol-iss-date"/>
          <w:rFonts w:asciiTheme="minorBidi" w:eastAsia="Times New Roman" w:hAnsiTheme="minorBidi"/>
          <w:bCs/>
          <w:color w:val="000000" w:themeColor="text1"/>
          <w:sz w:val="20"/>
          <w:szCs w:val="20"/>
        </w:rPr>
        <w:t xml:space="preserve"> .</w:t>
      </w:r>
      <w:proofErr w:type="gramEnd"/>
      <w:r w:rsidR="003471DC" w:rsidRPr="003471DC">
        <w:rPr>
          <w:rStyle w:val="apple-converted-space"/>
          <w:rFonts w:asciiTheme="minorBidi" w:eastAsia="Times New Roman" w:hAnsiTheme="minorBidi"/>
          <w:bCs/>
          <w:color w:val="000000" w:themeColor="text1"/>
          <w:sz w:val="20"/>
          <w:szCs w:val="20"/>
        </w:rPr>
        <w:t> </w:t>
      </w:r>
      <w:proofErr w:type="spellStart"/>
      <w:r w:rsidR="003471DC" w:rsidRPr="003471DC">
        <w:rPr>
          <w:rStyle w:val="doi"/>
          <w:rFonts w:asciiTheme="minorBidi" w:eastAsia="Times New Roman" w:hAnsiTheme="minorBidi"/>
          <w:bCs/>
          <w:color w:val="000000" w:themeColor="text1"/>
          <w:sz w:val="20"/>
          <w:szCs w:val="20"/>
        </w:rPr>
        <w:t>doi</w:t>
      </w:r>
      <w:proofErr w:type="spellEnd"/>
      <w:r w:rsidR="003471DC" w:rsidRPr="003471DC">
        <w:rPr>
          <w:rStyle w:val="doi"/>
          <w:rFonts w:asciiTheme="minorBidi" w:eastAsia="Times New Roman" w:hAnsiTheme="minorBidi"/>
          <w:bCs/>
          <w:color w:val="000000" w:themeColor="text1"/>
          <w:sz w:val="20"/>
          <w:szCs w:val="20"/>
        </w:rPr>
        <w:t>: </w:t>
      </w:r>
      <w:r w:rsidR="003471DC" w:rsidRPr="003471DC">
        <w:rPr>
          <w:rStyle w:val="apple-converted-space"/>
          <w:rFonts w:asciiTheme="minorBidi" w:eastAsia="Times New Roman" w:hAnsiTheme="minorBidi"/>
          <w:bCs/>
          <w:color w:val="000000" w:themeColor="text1"/>
          <w:sz w:val="20"/>
          <w:szCs w:val="20"/>
        </w:rPr>
        <w:t> </w:t>
      </w:r>
      <w:hyperlink r:id="rId12" w:tgtFrame="pmc_ext" w:history="1">
        <w:r w:rsidR="003471DC" w:rsidRPr="003471DC">
          <w:rPr>
            <w:rStyle w:val="Hyperlink"/>
            <w:rFonts w:asciiTheme="minorBidi" w:eastAsia="Times New Roman" w:hAnsiTheme="minorBidi"/>
            <w:bCs/>
            <w:color w:val="000000" w:themeColor="text1"/>
            <w:sz w:val="20"/>
            <w:szCs w:val="20"/>
            <w:u w:val="none"/>
          </w:rPr>
          <w:t>10.3390/ijms17091490</w:t>
        </w:r>
      </w:hyperlink>
    </w:p>
    <w:p w14:paraId="571AE172" w14:textId="03F270E8" w:rsidR="008A7A11" w:rsidRDefault="008A7A11" w:rsidP="008A7A11">
      <w:pPr>
        <w:rPr>
          <w:rFonts w:eastAsia="Times New Roman"/>
          <w:lang w:eastAsia="en-GB"/>
        </w:rPr>
      </w:pPr>
    </w:p>
    <w:p w14:paraId="5300B594" w14:textId="06E22A9C" w:rsidR="008A7A11" w:rsidRPr="008A7A11" w:rsidRDefault="008A7A11" w:rsidP="008A7A11">
      <w:pPr>
        <w:pStyle w:val="ListParagraph"/>
        <w:numPr>
          <w:ilvl w:val="0"/>
          <w:numId w:val="1"/>
        </w:numPr>
        <w:rPr>
          <w:rFonts w:asciiTheme="minorBidi" w:eastAsia="Times New Roman" w:hAnsiTheme="minorBidi"/>
          <w:color w:val="000000" w:themeColor="text1"/>
          <w:lang w:eastAsia="en-GB"/>
        </w:rPr>
      </w:pPr>
      <w:r w:rsidRPr="008A7A11">
        <w:rPr>
          <w:rFonts w:asciiTheme="minorBidi" w:eastAsia="Times New Roman" w:hAnsiTheme="minorBidi"/>
          <w:color w:val="000000" w:themeColor="text1"/>
          <w:lang w:eastAsia="en-GB"/>
        </w:rPr>
        <w:t xml:space="preserve">Philippe </w:t>
      </w:r>
      <w:proofErr w:type="spellStart"/>
      <w:r w:rsidRPr="008A7A11">
        <w:rPr>
          <w:rFonts w:asciiTheme="minorBidi" w:eastAsia="Times New Roman" w:hAnsiTheme="minorBidi"/>
          <w:color w:val="000000" w:themeColor="text1"/>
          <w:lang w:eastAsia="en-GB"/>
        </w:rPr>
        <w:t>Garot</w:t>
      </w:r>
      <w:proofErr w:type="spellEnd"/>
      <w:r w:rsidRPr="008A7A11">
        <w:rPr>
          <w:rFonts w:asciiTheme="minorBidi" w:eastAsia="Times New Roman" w:hAnsiTheme="minorBidi"/>
          <w:color w:val="000000" w:themeColor="text1"/>
          <w:lang w:eastAsia="en-GB"/>
        </w:rPr>
        <w:t xml:space="preserve">, MD et al. 2-Year Outcomes of High Bleeding Risk Patients After Polymer-Free Drug-Coated Stents. JACC </w:t>
      </w:r>
      <w:r w:rsidRPr="008A7A11">
        <w:rPr>
          <w:rFonts w:asciiTheme="minorBidi" w:eastAsia="Times New Roman" w:hAnsiTheme="minorBidi"/>
          <w:color w:val="000000" w:themeColor="text1"/>
        </w:rPr>
        <w:fldChar w:fldCharType="begin"/>
      </w:r>
      <w:r w:rsidRPr="008A7A11">
        <w:rPr>
          <w:rFonts w:asciiTheme="minorBidi" w:eastAsia="Times New Roman" w:hAnsiTheme="minorBidi"/>
          <w:color w:val="000000" w:themeColor="text1"/>
        </w:rPr>
        <w:instrText xml:space="preserve"> HYPERLINK "https://doi.org/10.1016/j.jacc.2016.10.009" \o "Persistent link using digital object identifier" \t "_blank" </w:instrText>
      </w:r>
      <w:r w:rsidRPr="008A7A11">
        <w:rPr>
          <w:rFonts w:asciiTheme="minorBidi" w:eastAsia="Times New Roman" w:hAnsiTheme="minorBidi"/>
          <w:color w:val="000000" w:themeColor="text1"/>
        </w:rPr>
      </w:r>
      <w:r w:rsidRPr="008A7A11">
        <w:rPr>
          <w:rFonts w:asciiTheme="minorBidi" w:eastAsia="Times New Roman" w:hAnsiTheme="minorBidi"/>
          <w:color w:val="000000" w:themeColor="text1"/>
        </w:rPr>
        <w:fldChar w:fldCharType="separate"/>
      </w:r>
      <w:r w:rsidRPr="008A7A11">
        <w:rPr>
          <w:rStyle w:val="Hyperlink"/>
          <w:rFonts w:asciiTheme="minorBidi" w:eastAsia="Times New Roman" w:hAnsiTheme="minorBidi"/>
          <w:color w:val="000000" w:themeColor="text1"/>
        </w:rPr>
        <w:t>doi.org/10.1016/j.jacc.2016.10.009</w:t>
      </w:r>
      <w:r w:rsidRPr="008A7A11">
        <w:rPr>
          <w:rFonts w:asciiTheme="minorBidi" w:eastAsia="Times New Roman" w:hAnsiTheme="minorBidi"/>
          <w:color w:val="000000" w:themeColor="text1"/>
        </w:rPr>
        <w:fldChar w:fldCharType="end"/>
      </w:r>
    </w:p>
    <w:p w14:paraId="12DF59E1" w14:textId="77777777" w:rsidR="008A7A11" w:rsidRPr="008A7A11" w:rsidRDefault="008A7A11" w:rsidP="008A7A11">
      <w:pPr>
        <w:pStyle w:val="ListParagraph"/>
        <w:rPr>
          <w:rFonts w:asciiTheme="minorBidi" w:eastAsia="Times New Roman" w:hAnsiTheme="minorBidi"/>
          <w:color w:val="000000" w:themeColor="text1"/>
          <w:lang w:eastAsia="en-GB"/>
        </w:rPr>
      </w:pPr>
    </w:p>
    <w:p w14:paraId="733602D3" w14:textId="77777777" w:rsidR="000333CB" w:rsidRDefault="000333CB" w:rsidP="000333CB">
      <w:pPr>
        <w:jc w:val="both"/>
      </w:pPr>
    </w:p>
    <w:p w14:paraId="7A175F85" w14:textId="77777777" w:rsidR="000333CB" w:rsidRDefault="000333CB" w:rsidP="000333CB">
      <w:pPr>
        <w:jc w:val="both"/>
      </w:pPr>
    </w:p>
    <w:p w14:paraId="1BE91300" w14:textId="77777777" w:rsidR="000333CB" w:rsidRDefault="000333CB"/>
    <w:sectPr w:rsidR="000333CB" w:rsidSect="0095571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771E7"/>
    <w:multiLevelType w:val="hybridMultilevel"/>
    <w:tmpl w:val="B6A2D20E"/>
    <w:lvl w:ilvl="0" w:tplc="6A023CB0">
      <w:start w:val="1"/>
      <w:numFmt w:val="decimal"/>
      <w:lvlText w:val="%1-"/>
      <w:lvlJc w:val="left"/>
      <w:pPr>
        <w:ind w:left="720" w:hanging="360"/>
      </w:pPr>
      <w:rPr>
        <w:rFonts w:hint="default"/>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457"/>
    <w:rsid w:val="000333CB"/>
    <w:rsid w:val="000B2707"/>
    <w:rsid w:val="00187F37"/>
    <w:rsid w:val="002B7EBC"/>
    <w:rsid w:val="003471DC"/>
    <w:rsid w:val="004E5722"/>
    <w:rsid w:val="00506852"/>
    <w:rsid w:val="006613A3"/>
    <w:rsid w:val="00721218"/>
    <w:rsid w:val="00773429"/>
    <w:rsid w:val="007E36EE"/>
    <w:rsid w:val="008279C9"/>
    <w:rsid w:val="00840457"/>
    <w:rsid w:val="00867551"/>
    <w:rsid w:val="008A7A11"/>
    <w:rsid w:val="008D22BB"/>
    <w:rsid w:val="0095571D"/>
    <w:rsid w:val="00B12890"/>
    <w:rsid w:val="00BB3866"/>
    <w:rsid w:val="00C01CD3"/>
    <w:rsid w:val="00C361A3"/>
    <w:rsid w:val="00CB1E0D"/>
    <w:rsid w:val="00D36CE2"/>
    <w:rsid w:val="00E37722"/>
    <w:rsid w:val="00ED660D"/>
    <w:rsid w:val="00EE78ED"/>
    <w:rsid w:val="00F07D35"/>
    <w:rsid w:val="00F57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3F8B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0457"/>
  </w:style>
  <w:style w:type="paragraph" w:styleId="Heading1">
    <w:name w:val="heading 1"/>
    <w:basedOn w:val="Normal"/>
    <w:link w:val="Heading1Char"/>
    <w:uiPriority w:val="9"/>
    <w:qFormat/>
    <w:rsid w:val="003471DC"/>
    <w:pPr>
      <w:spacing w:before="100" w:beforeAutospacing="1" w:after="100" w:afterAutospacing="1"/>
      <w:outlineLvl w:val="0"/>
    </w:pPr>
    <w:rPr>
      <w:rFonts w:ascii="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3CB"/>
    <w:rPr>
      <w:color w:val="0563C1" w:themeColor="hyperlink"/>
      <w:u w:val="single"/>
    </w:rPr>
  </w:style>
  <w:style w:type="character" w:styleId="FollowedHyperlink">
    <w:name w:val="FollowedHyperlink"/>
    <w:basedOn w:val="DefaultParagraphFont"/>
    <w:uiPriority w:val="99"/>
    <w:semiHidden/>
    <w:unhideWhenUsed/>
    <w:rsid w:val="00187F37"/>
    <w:rPr>
      <w:color w:val="954F72" w:themeColor="followedHyperlink"/>
      <w:u w:val="single"/>
    </w:rPr>
  </w:style>
  <w:style w:type="character" w:customStyle="1" w:styleId="Heading1Char">
    <w:name w:val="Heading 1 Char"/>
    <w:basedOn w:val="DefaultParagraphFont"/>
    <w:link w:val="Heading1"/>
    <w:uiPriority w:val="9"/>
    <w:rsid w:val="003471DC"/>
    <w:rPr>
      <w:rFonts w:ascii="Times New Roman" w:hAnsi="Times New Roman" w:cs="Times New Roman"/>
      <w:b/>
      <w:bCs/>
      <w:kern w:val="36"/>
      <w:sz w:val="48"/>
      <w:szCs w:val="48"/>
      <w:lang w:eastAsia="en-GB"/>
    </w:rPr>
  </w:style>
  <w:style w:type="character" w:customStyle="1" w:styleId="cit">
    <w:name w:val="cit"/>
    <w:basedOn w:val="DefaultParagraphFont"/>
    <w:rsid w:val="003471DC"/>
  </w:style>
  <w:style w:type="character" w:customStyle="1" w:styleId="apple-converted-space">
    <w:name w:val="apple-converted-space"/>
    <w:basedOn w:val="DefaultParagraphFont"/>
    <w:rsid w:val="003471DC"/>
  </w:style>
  <w:style w:type="character" w:customStyle="1" w:styleId="fm-vol-iss-date">
    <w:name w:val="fm-vol-iss-date"/>
    <w:basedOn w:val="DefaultParagraphFont"/>
    <w:rsid w:val="003471DC"/>
  </w:style>
  <w:style w:type="character" w:customStyle="1" w:styleId="doi">
    <w:name w:val="doi"/>
    <w:basedOn w:val="DefaultParagraphFont"/>
    <w:rsid w:val="003471DC"/>
  </w:style>
  <w:style w:type="character" w:customStyle="1" w:styleId="fm-citation-ids-label">
    <w:name w:val="fm-citation-ids-label"/>
    <w:basedOn w:val="DefaultParagraphFont"/>
    <w:rsid w:val="003471DC"/>
  </w:style>
  <w:style w:type="character" w:customStyle="1" w:styleId="fm-role">
    <w:name w:val="fm-role"/>
    <w:basedOn w:val="DefaultParagraphFont"/>
    <w:rsid w:val="003471DC"/>
  </w:style>
  <w:style w:type="paragraph" w:styleId="ListParagraph">
    <w:name w:val="List Paragraph"/>
    <w:basedOn w:val="Normal"/>
    <w:uiPriority w:val="34"/>
    <w:qFormat/>
    <w:rsid w:val="003471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80965">
      <w:bodyDiv w:val="1"/>
      <w:marLeft w:val="0"/>
      <w:marRight w:val="0"/>
      <w:marTop w:val="0"/>
      <w:marBottom w:val="0"/>
      <w:divBdr>
        <w:top w:val="none" w:sz="0" w:space="0" w:color="auto"/>
        <w:left w:val="none" w:sz="0" w:space="0" w:color="auto"/>
        <w:bottom w:val="none" w:sz="0" w:space="0" w:color="auto"/>
        <w:right w:val="none" w:sz="0" w:space="0" w:color="auto"/>
      </w:divBdr>
      <w:divsChild>
        <w:div w:id="488332074">
          <w:marLeft w:val="0"/>
          <w:marRight w:val="0"/>
          <w:marTop w:val="0"/>
          <w:marBottom w:val="166"/>
          <w:divBdr>
            <w:top w:val="none" w:sz="0" w:space="0" w:color="auto"/>
            <w:left w:val="none" w:sz="0" w:space="0" w:color="auto"/>
            <w:bottom w:val="none" w:sz="0" w:space="0" w:color="auto"/>
            <w:right w:val="none" w:sz="0" w:space="0" w:color="auto"/>
          </w:divBdr>
          <w:divsChild>
            <w:div w:id="587924407">
              <w:marLeft w:val="0"/>
              <w:marRight w:val="0"/>
              <w:marTop w:val="0"/>
              <w:marBottom w:val="0"/>
              <w:divBdr>
                <w:top w:val="none" w:sz="0" w:space="0" w:color="auto"/>
                <w:left w:val="none" w:sz="0" w:space="0" w:color="auto"/>
                <w:bottom w:val="none" w:sz="0" w:space="0" w:color="auto"/>
                <w:right w:val="none" w:sz="0" w:space="0" w:color="auto"/>
              </w:divBdr>
              <w:divsChild>
                <w:div w:id="1922137211">
                  <w:marLeft w:val="0"/>
                  <w:marRight w:val="0"/>
                  <w:marTop w:val="0"/>
                  <w:marBottom w:val="0"/>
                  <w:divBdr>
                    <w:top w:val="none" w:sz="0" w:space="0" w:color="auto"/>
                    <w:left w:val="none" w:sz="0" w:space="0" w:color="auto"/>
                    <w:bottom w:val="none" w:sz="0" w:space="0" w:color="auto"/>
                    <w:right w:val="none" w:sz="0" w:space="0" w:color="auto"/>
                  </w:divBdr>
                  <w:divsChild>
                    <w:div w:id="1239899182">
                      <w:marLeft w:val="0"/>
                      <w:marRight w:val="0"/>
                      <w:marTop w:val="0"/>
                      <w:marBottom w:val="0"/>
                      <w:divBdr>
                        <w:top w:val="none" w:sz="0" w:space="0" w:color="auto"/>
                        <w:left w:val="none" w:sz="0" w:space="0" w:color="auto"/>
                        <w:bottom w:val="none" w:sz="0" w:space="0" w:color="auto"/>
                        <w:right w:val="none" w:sz="0" w:space="0" w:color="auto"/>
                      </w:divBdr>
                      <w:divsChild>
                        <w:div w:id="2055931020">
                          <w:marLeft w:val="0"/>
                          <w:marRight w:val="0"/>
                          <w:marTop w:val="0"/>
                          <w:marBottom w:val="0"/>
                          <w:divBdr>
                            <w:top w:val="none" w:sz="0" w:space="0" w:color="auto"/>
                            <w:left w:val="none" w:sz="0" w:space="0" w:color="auto"/>
                            <w:bottom w:val="none" w:sz="0" w:space="0" w:color="auto"/>
                            <w:right w:val="none" w:sz="0" w:space="0" w:color="auto"/>
                          </w:divBdr>
                        </w:div>
                        <w:div w:id="188575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18353">
                  <w:marLeft w:val="0"/>
                  <w:marRight w:val="0"/>
                  <w:marTop w:val="0"/>
                  <w:marBottom w:val="0"/>
                  <w:divBdr>
                    <w:top w:val="none" w:sz="0" w:space="0" w:color="auto"/>
                    <w:left w:val="none" w:sz="0" w:space="0" w:color="auto"/>
                    <w:bottom w:val="none" w:sz="0" w:space="0" w:color="auto"/>
                    <w:right w:val="none" w:sz="0" w:space="0" w:color="auto"/>
                  </w:divBdr>
                  <w:divsChild>
                    <w:div w:id="651442713">
                      <w:marLeft w:val="0"/>
                      <w:marRight w:val="0"/>
                      <w:marTop w:val="0"/>
                      <w:marBottom w:val="0"/>
                      <w:divBdr>
                        <w:top w:val="none" w:sz="0" w:space="0" w:color="auto"/>
                        <w:left w:val="none" w:sz="0" w:space="0" w:color="auto"/>
                        <w:bottom w:val="none" w:sz="0" w:space="0" w:color="auto"/>
                        <w:right w:val="none" w:sz="0" w:space="0" w:color="auto"/>
                      </w:divBdr>
                    </w:div>
                    <w:div w:id="188895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21972">
          <w:marLeft w:val="0"/>
          <w:marRight w:val="0"/>
          <w:marTop w:val="166"/>
          <w:marBottom w:val="166"/>
          <w:divBdr>
            <w:top w:val="none" w:sz="0" w:space="0" w:color="auto"/>
            <w:left w:val="none" w:sz="0" w:space="0" w:color="auto"/>
            <w:bottom w:val="none" w:sz="0" w:space="0" w:color="auto"/>
            <w:right w:val="none" w:sz="0" w:space="0" w:color="auto"/>
          </w:divBdr>
          <w:divsChild>
            <w:div w:id="2146850031">
              <w:marLeft w:val="0"/>
              <w:marRight w:val="0"/>
              <w:marTop w:val="0"/>
              <w:marBottom w:val="0"/>
              <w:divBdr>
                <w:top w:val="none" w:sz="0" w:space="0" w:color="auto"/>
                <w:left w:val="none" w:sz="0" w:space="0" w:color="auto"/>
                <w:bottom w:val="none" w:sz="0" w:space="0" w:color="auto"/>
                <w:right w:val="none" w:sz="0" w:space="0" w:color="auto"/>
              </w:divBdr>
            </w:div>
          </w:divsChild>
        </w:div>
        <w:div w:id="1460220184">
          <w:marLeft w:val="0"/>
          <w:marRight w:val="0"/>
          <w:marTop w:val="166"/>
          <w:marBottom w:val="166"/>
          <w:divBdr>
            <w:top w:val="none" w:sz="0" w:space="0" w:color="auto"/>
            <w:left w:val="none" w:sz="0" w:space="0" w:color="auto"/>
            <w:bottom w:val="none" w:sz="0" w:space="0" w:color="auto"/>
            <w:right w:val="none" w:sz="0" w:space="0" w:color="auto"/>
          </w:divBdr>
        </w:div>
      </w:divsChild>
    </w:div>
    <w:div w:id="422184835">
      <w:bodyDiv w:val="1"/>
      <w:marLeft w:val="0"/>
      <w:marRight w:val="0"/>
      <w:marTop w:val="0"/>
      <w:marBottom w:val="0"/>
      <w:divBdr>
        <w:top w:val="none" w:sz="0" w:space="0" w:color="auto"/>
        <w:left w:val="none" w:sz="0" w:space="0" w:color="auto"/>
        <w:bottom w:val="none" w:sz="0" w:space="0" w:color="auto"/>
        <w:right w:val="none" w:sz="0" w:space="0" w:color="auto"/>
      </w:divBdr>
    </w:div>
    <w:div w:id="579869584">
      <w:bodyDiv w:val="1"/>
      <w:marLeft w:val="0"/>
      <w:marRight w:val="0"/>
      <w:marTop w:val="0"/>
      <w:marBottom w:val="0"/>
      <w:divBdr>
        <w:top w:val="none" w:sz="0" w:space="0" w:color="auto"/>
        <w:left w:val="none" w:sz="0" w:space="0" w:color="auto"/>
        <w:bottom w:val="none" w:sz="0" w:space="0" w:color="auto"/>
        <w:right w:val="none" w:sz="0" w:space="0" w:color="auto"/>
      </w:divBdr>
    </w:div>
    <w:div w:id="653410754">
      <w:bodyDiv w:val="1"/>
      <w:marLeft w:val="0"/>
      <w:marRight w:val="0"/>
      <w:marTop w:val="0"/>
      <w:marBottom w:val="0"/>
      <w:divBdr>
        <w:top w:val="none" w:sz="0" w:space="0" w:color="auto"/>
        <w:left w:val="none" w:sz="0" w:space="0" w:color="auto"/>
        <w:bottom w:val="none" w:sz="0" w:space="0" w:color="auto"/>
        <w:right w:val="none" w:sz="0" w:space="0" w:color="auto"/>
      </w:divBdr>
    </w:div>
    <w:div w:id="12088785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ncbi.nlm.nih.gov/pmc/articles/PMC5037768/" TargetMode="External"/><Relationship Id="rId12" Type="http://schemas.openxmlformats.org/officeDocument/2006/relationships/hyperlink" Target="https://dx.doi.org/10.3390%2Fijms17091490"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yperlink" Target="https://www.ncbi.nlm.nih.gov/pubmed/?term=Chisari%20A%5BAuthor%5D&amp;cauthor=true&amp;cauthor_uid=27608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6</Pages>
  <Words>531</Words>
  <Characters>3031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Warkaa</dc:creator>
  <cp:keywords/>
  <dc:description/>
  <cp:lastModifiedBy>Warkaa</cp:lastModifiedBy>
  <cp:revision>11</cp:revision>
  <dcterms:created xsi:type="dcterms:W3CDTF">2018-07-15T16:41:00Z</dcterms:created>
  <dcterms:modified xsi:type="dcterms:W3CDTF">2018-07-15T19:43:00Z</dcterms:modified>
</cp:coreProperties>
</file>