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Minion Pro" w:hAnsi="Minion Pro" w:cs="Minion Pro" w:eastAsia="Minion Pro"/>
          <w:b/>
          <w:color w:val="auto"/>
          <w:spacing w:val="0"/>
          <w:position w:val="0"/>
          <w:sz w:val="36"/>
          <w:shd w:fill="auto" w:val="clear"/>
        </w:rPr>
      </w:pPr>
      <w:r>
        <w:rPr>
          <w:rFonts w:ascii="TimesNewRomanPS-BoldMT" w:hAnsi="TimesNewRomanPS-BoldMT" w:cs="TimesNewRomanPS-BoldMT" w:eastAsia="TimesNewRomanPS-BoldMT"/>
          <w:b/>
          <w:color w:val="auto"/>
          <w:spacing w:val="0"/>
          <w:position w:val="0"/>
          <w:sz w:val="24"/>
          <w:shd w:fill="auto" w:val="clear"/>
        </w:rPr>
        <w:t xml:space="preserve">The Relationship between Ankle-Brachial Score and Acute Coronary Syndrome Event on Patients at Margono Soekarjo Hospital</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M. Ramzy Ghifari, Jenderal Soedirman University, Indonesia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w:t>
      </w:r>
    </w:p>
    <w:p>
      <w:pPr>
        <w:spacing w:before="0" w:after="0" w:line="240"/>
        <w:ind w:right="0" w:left="0" w:firstLine="0"/>
        <w:jc w:val="both"/>
        <w:rPr>
          <w:rFonts w:ascii="Arial" w:hAnsi="Arial" w:cs="Arial" w:eastAsia="Arial"/>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most deadly cardiovascular disease (CVD) is Coronary Heart Disease (CHD). Ankle-Brachial Index has been recommended in testing the risk of CVD, especially on individuals who have moderate up to high risk of CHD. There have been a number of research on the same subject, but the results are controversial. This research is an analytic observational study and uses consecutive sampling methods. It used 32 patients who have different histories of cardiovascular disease at Cardio center of Margono Hospital, Purwokerto, who met some criterias. Patients’ systolic pressure were measured at the ankle and brachial. Fisher was used for data analysis. There isn't significant correlation between the ABI score with ACS event p&gt;0,05. The mean of ABI score in patients who have a history of ACS is 1,073 ± 0,081, while the patient without ACS history is 1,071 ± 0,197. There isn't association between Ankle-Brachial Score and Acute Coronary Syndromes event.</w:t>
      </w:r>
    </w:p>
    <w:p>
      <w:pPr>
        <w:spacing w:before="90" w:after="0" w:line="280"/>
        <w:ind w:right="0" w:left="10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Recent Publications</w:t>
      </w:r>
    </w:p>
    <w:p>
      <w:pPr>
        <w:numPr>
          <w:ilvl w:val="0"/>
          <w:numId w:val="10"/>
        </w:numPr>
        <w:tabs>
          <w:tab w:val="left" w:pos="384" w:leader="none"/>
        </w:tabs>
        <w:spacing w:before="103" w:after="0" w:line="240"/>
        <w:ind w:right="138" w:left="383" w:hanging="283"/>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Sadeghi, M., Heidari, R., Mostanfar, B., Tavassoli, A., Roghani, F. and Yazdekhasti, S., 2011. The relation between ankle-brachial index (ABI) and coronary artery disease severity and risk factors: an angiographic study. ARYA atherosclerosis, 7(2), pp.68-73.</w:t>
      </w:r>
    </w:p>
    <w:p>
      <w:pPr>
        <w:numPr>
          <w:ilvl w:val="0"/>
          <w:numId w:val="10"/>
        </w:numPr>
        <w:tabs>
          <w:tab w:val="left" w:pos="384" w:leader="none"/>
        </w:tabs>
        <w:spacing w:before="90" w:after="0" w:line="240"/>
        <w:ind w:right="137" w:left="383" w:hanging="283"/>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Hakeem, F., Siddique, S. and Saboor, Q.A., 2010. Abnormal ankle brachial index and the presence of significant coronary artery disease. J Coll Physicians Surg Pak, 20(2), pp.79-82.</w:t>
      </w:r>
    </w:p>
    <w:p>
      <w:pPr>
        <w:numPr>
          <w:ilvl w:val="0"/>
          <w:numId w:val="10"/>
        </w:numPr>
        <w:tabs>
          <w:tab w:val="left" w:pos="384" w:leader="none"/>
        </w:tabs>
        <w:spacing w:before="90" w:after="0" w:line="240"/>
        <w:ind w:right="138" w:left="383" w:hanging="283"/>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Sabedotti, M., Sarmento-Leite, R. and Quadros, A.S.D., 2014. Ankle-brachial index as a predictor of significant coronary artery disease in patients undergoing coronary angiography. Revista Brasileira de Cardiologia Invasiva, 22(4), pp.359-363..</w:t>
      </w:r>
    </w:p>
    <w:p>
      <w:pPr>
        <w:numPr>
          <w:ilvl w:val="0"/>
          <w:numId w:val="10"/>
        </w:numPr>
        <w:tabs>
          <w:tab w:val="left" w:pos="384" w:leader="none"/>
        </w:tabs>
        <w:spacing w:before="90" w:after="0" w:line="240"/>
        <w:ind w:right="138" w:left="383" w:hanging="283"/>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Syvänen, K., 2012. Ankle-brachial index, high-sensitivity C-reactive protein and endothelial function in a cardiovascular risk population.</w:t>
      </w:r>
    </w:p>
    <w:p>
      <w:pPr>
        <w:numPr>
          <w:ilvl w:val="0"/>
          <w:numId w:val="10"/>
        </w:numPr>
        <w:tabs>
          <w:tab w:val="left" w:pos="384" w:leader="none"/>
        </w:tabs>
        <w:spacing w:before="90" w:after="0" w:line="240"/>
        <w:ind w:right="138" w:left="383" w:hanging="283"/>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Marius, R.A., ILIUTA, L., GUBERNA, S.M. and SINESCU, C., 2014. The role of ankle-brachial index for predicting peripheral arterial disease. Mædica, 9(3), p.295.</w:t>
      </w:r>
    </w:p>
    <w:p>
      <w:pPr>
        <w:tabs>
          <w:tab w:val="left" w:pos="384" w:leader="none"/>
        </w:tabs>
        <w:spacing w:before="0" w:after="0" w:line="240"/>
        <w:ind w:right="117" w:left="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Tw Cen MT" w:hAnsi="Tw Cen MT" w:cs="Tw Cen MT" w:eastAsia="Tw Cen MT"/>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p>
    <w:p>
      <w:pPr>
        <w:spacing w:before="92" w:after="0" w:line="240"/>
        <w:ind w:right="4234" w:left="0" w:firstLine="0"/>
        <w:jc w:val="left"/>
        <w:rPr>
          <w:rFonts w:ascii="Tw Cen MT" w:hAnsi="Tw Cen MT" w:cs="Tw Cen MT" w:eastAsia="Tw Cen MT"/>
          <w:color w:val="auto"/>
          <w:spacing w:val="0"/>
          <w:position w:val="0"/>
          <w:sz w:val="22"/>
          <w:shd w:fill="auto" w:val="clear"/>
        </w:rPr>
      </w:pPr>
      <w:r>
        <w:object w:dxaOrig="1234" w:dyaOrig="1315">
          <v:rect xmlns:o="urn:schemas-microsoft-com:office:office" xmlns:v="urn:schemas-microsoft-com:vml" id="rectole0000000000" style="width:61.700000pt;height:65.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rPr>
          <w:rFonts w:ascii="Arial" w:hAnsi="Arial" w:cs="Arial" w:eastAsia="Arial"/>
          <w:color w:val="BF5A14"/>
          <w:spacing w:val="0"/>
          <w:position w:val="0"/>
          <w:sz w:val="22"/>
          <w:shd w:fill="auto" w:val="clear"/>
        </w:rPr>
        <w:t xml:space="preserve">Biography</w:t>
      </w:r>
    </w:p>
    <w:p>
      <w:pPr>
        <w:spacing w:before="0" w:after="0" w:line="240"/>
        <w:ind w:right="0" w:left="0" w:firstLine="0"/>
        <w:jc w:val="left"/>
        <w:rPr>
          <w:rFonts w:ascii="Minion Pro" w:hAnsi="Minion Pro" w:cs="Minion Pro" w:eastAsia="Minion Pro"/>
          <w:color w:val="auto"/>
          <w:spacing w:val="0"/>
          <w:position w:val="0"/>
          <w:sz w:val="24"/>
          <w:shd w:fill="auto" w:val="clear"/>
        </w:rPr>
      </w:pPr>
      <w:r>
        <w:rPr>
          <w:rFonts w:ascii="Times New Roman" w:hAnsi="Times New Roman" w:cs="Times New Roman" w:eastAsia="Times New Roman"/>
          <w:color w:val="auto"/>
          <w:spacing w:val="0"/>
          <w:position w:val="0"/>
          <w:sz w:val="16"/>
          <w:shd w:fill="auto" w:val="clear"/>
        </w:rPr>
        <w:t xml:space="preserve">M. Ramzy Ghifari are currently graduate students from Department of Internal Medicine, Jenderal Soedirman University, Purwokerto, Indonesia. Now,</w:t>
      </w:r>
      <w:r>
        <w:rPr>
          <w:rFonts w:ascii="Times New Roman" w:hAnsi="Times New Roman" w:cs="Times New Roman" w:eastAsia="Times New Roman"/>
          <w:color w:val="auto"/>
          <w:spacing w:val="0"/>
          <w:position w:val="0"/>
          <w:sz w:val="16"/>
          <w:shd w:fill="auto" w:val="clear"/>
        </w:rPr>
        <w:t xml:space="preserve"> he is undergoing medical education at profession level</w:t>
      </w: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