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91C26" w14:textId="77777777" w:rsidR="004C59CE" w:rsidRDefault="004C59CE" w:rsidP="003417EB">
      <w:pPr>
        <w:spacing w:line="360" w:lineRule="auto"/>
        <w:rPr>
          <w:rFonts w:asciiTheme="majorBidi" w:hAnsiTheme="majorBidi" w:cstheme="majorBidi"/>
          <w:sz w:val="24"/>
          <w:szCs w:val="24"/>
        </w:rPr>
      </w:pPr>
    </w:p>
    <w:p w14:paraId="5F18D73D" w14:textId="77777777" w:rsidR="00F041B1" w:rsidRDefault="00F041B1" w:rsidP="003417EB">
      <w:pPr>
        <w:spacing w:line="360" w:lineRule="auto"/>
        <w:rPr>
          <w:rFonts w:asciiTheme="majorBidi" w:hAnsiTheme="majorBidi" w:cstheme="majorBidi"/>
          <w:sz w:val="24"/>
          <w:szCs w:val="24"/>
        </w:rPr>
      </w:pPr>
    </w:p>
    <w:p w14:paraId="57061E78" w14:textId="77777777" w:rsidR="00F041B1" w:rsidRDefault="00F041B1" w:rsidP="003417EB">
      <w:pPr>
        <w:spacing w:line="360" w:lineRule="auto"/>
        <w:rPr>
          <w:rFonts w:asciiTheme="majorBidi" w:hAnsiTheme="majorBidi" w:cstheme="majorBidi"/>
          <w:sz w:val="24"/>
          <w:szCs w:val="24"/>
        </w:rPr>
      </w:pPr>
    </w:p>
    <w:p w14:paraId="20CBBD3C" w14:textId="08E5B3FE" w:rsidR="00F041B1" w:rsidRDefault="00F041B1" w:rsidP="00F041B1">
      <w:pPr>
        <w:spacing w:line="360" w:lineRule="auto"/>
        <w:jc w:val="right"/>
        <w:rPr>
          <w:rFonts w:asciiTheme="majorBidi" w:hAnsiTheme="majorBidi" w:cstheme="majorBidi"/>
          <w:sz w:val="24"/>
          <w:szCs w:val="24"/>
        </w:rPr>
      </w:pPr>
      <w:r w:rsidRPr="00F041B1">
        <w:rPr>
          <w:rFonts w:asciiTheme="majorBidi" w:hAnsiTheme="majorBidi" w:cstheme="majorBidi"/>
          <w:noProof/>
          <w:sz w:val="24"/>
          <w:szCs w:val="24"/>
          <w:lang w:val="en-US" w:bidi="fa-IR"/>
        </w:rPr>
        <w:drawing>
          <wp:inline distT="0" distB="0" distL="0" distR="0" wp14:anchorId="6F36CF51" wp14:editId="580B91EA">
            <wp:extent cx="1701443" cy="2202821"/>
            <wp:effectExtent l="0" t="0" r="63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708765" cy="2212301"/>
                    </a:xfrm>
                    <a:prstGeom prst="rect">
                      <a:avLst/>
                    </a:prstGeom>
                  </pic:spPr>
                </pic:pic>
              </a:graphicData>
            </a:graphic>
          </wp:inline>
        </w:drawing>
      </w:r>
    </w:p>
    <w:p w14:paraId="4F8CF1E7" w14:textId="33CA559E" w:rsidR="00D412BB" w:rsidRPr="00FF174A" w:rsidRDefault="00A450E6" w:rsidP="00A450E6">
      <w:pPr>
        <w:jc w:val="center"/>
        <w:rPr>
          <w:rFonts w:asciiTheme="majorBidi" w:hAnsiTheme="majorBidi" w:cstheme="majorBidi"/>
          <w:b/>
          <w:bCs/>
          <w:color w:val="000000" w:themeColor="text1"/>
          <w:sz w:val="36"/>
          <w:szCs w:val="36"/>
        </w:rPr>
      </w:pPr>
      <w:proofErr w:type="spellStart"/>
      <w:r>
        <w:rPr>
          <w:rFonts w:asciiTheme="majorBidi" w:hAnsiTheme="majorBidi" w:cstheme="majorBidi"/>
          <w:b/>
          <w:bCs/>
          <w:color w:val="000000" w:themeColor="text1"/>
          <w:sz w:val="36"/>
          <w:szCs w:val="36"/>
        </w:rPr>
        <w:t>Effect</w:t>
      </w:r>
      <w:proofErr w:type="spellEnd"/>
      <w:r w:rsidR="00D412BB">
        <w:rPr>
          <w:rFonts w:asciiTheme="majorBidi" w:hAnsiTheme="majorBidi" w:cstheme="majorBidi"/>
          <w:b/>
          <w:bCs/>
          <w:color w:val="000000" w:themeColor="text1"/>
          <w:sz w:val="36"/>
          <w:szCs w:val="36"/>
        </w:rPr>
        <w:t xml:space="preserve"> of Single </w:t>
      </w:r>
      <w:r>
        <w:rPr>
          <w:rFonts w:asciiTheme="majorBidi" w:hAnsiTheme="majorBidi" w:cstheme="majorBidi"/>
          <w:b/>
          <w:bCs/>
          <w:color w:val="000000" w:themeColor="text1"/>
          <w:sz w:val="36"/>
          <w:szCs w:val="36"/>
        </w:rPr>
        <w:t>Nucléotide</w:t>
      </w:r>
      <w:r w:rsidR="00D412BB">
        <w:rPr>
          <w:rFonts w:asciiTheme="majorBidi" w:hAnsiTheme="majorBidi" w:cstheme="majorBidi"/>
          <w:b/>
          <w:bCs/>
          <w:color w:val="000000" w:themeColor="text1"/>
          <w:sz w:val="36"/>
          <w:szCs w:val="36"/>
        </w:rPr>
        <w:t xml:space="preserve"> </w:t>
      </w:r>
      <w:r>
        <w:rPr>
          <w:rFonts w:asciiTheme="majorBidi" w:hAnsiTheme="majorBidi" w:cstheme="majorBidi"/>
          <w:b/>
          <w:bCs/>
          <w:color w:val="000000" w:themeColor="text1"/>
          <w:sz w:val="36"/>
          <w:szCs w:val="36"/>
        </w:rPr>
        <w:t>Polymorphismes</w:t>
      </w:r>
      <w:r w:rsidR="00D412BB">
        <w:rPr>
          <w:rFonts w:asciiTheme="majorBidi" w:hAnsiTheme="majorBidi" w:cstheme="majorBidi"/>
          <w:b/>
          <w:bCs/>
          <w:color w:val="000000" w:themeColor="text1"/>
          <w:sz w:val="36"/>
          <w:szCs w:val="36"/>
        </w:rPr>
        <w:t xml:space="preserve"> in </w:t>
      </w:r>
      <w:r w:rsidR="00D412BB" w:rsidRPr="004E2BA5">
        <w:rPr>
          <w:rFonts w:asciiTheme="majorBidi" w:hAnsiTheme="majorBidi" w:cstheme="majorBidi"/>
          <w:b/>
          <w:bCs/>
          <w:i/>
          <w:iCs/>
          <w:color w:val="000000" w:themeColor="text1"/>
          <w:sz w:val="36"/>
          <w:szCs w:val="36"/>
        </w:rPr>
        <w:t>SELPS</w:t>
      </w:r>
      <w:r w:rsidR="00D412BB">
        <w:rPr>
          <w:rFonts w:asciiTheme="majorBidi" w:hAnsiTheme="majorBidi" w:cstheme="majorBidi"/>
          <w:b/>
          <w:bCs/>
          <w:color w:val="000000" w:themeColor="text1"/>
          <w:sz w:val="36"/>
          <w:szCs w:val="36"/>
        </w:rPr>
        <w:t xml:space="preserve"> and </w:t>
      </w:r>
      <w:r w:rsidR="00D412BB" w:rsidRPr="004E2BA5">
        <w:rPr>
          <w:rFonts w:asciiTheme="majorBidi" w:hAnsiTheme="majorBidi" w:cstheme="majorBidi"/>
          <w:b/>
          <w:bCs/>
          <w:i/>
          <w:iCs/>
          <w:color w:val="000000" w:themeColor="text1"/>
          <w:sz w:val="36"/>
          <w:szCs w:val="36"/>
        </w:rPr>
        <w:t>SELPP1</w:t>
      </w:r>
      <w:r w:rsidR="00D412BB" w:rsidRPr="00FF174A">
        <w:rPr>
          <w:rFonts w:asciiTheme="majorBidi" w:hAnsiTheme="majorBidi" w:cstheme="majorBidi"/>
          <w:b/>
          <w:bCs/>
          <w:color w:val="000000" w:themeColor="text1"/>
          <w:sz w:val="36"/>
          <w:szCs w:val="36"/>
        </w:rPr>
        <w:t xml:space="preserve"> </w:t>
      </w:r>
      <w:r w:rsidR="00D412BB">
        <w:rPr>
          <w:rFonts w:asciiTheme="majorBidi" w:hAnsiTheme="majorBidi" w:cstheme="majorBidi"/>
          <w:b/>
          <w:bCs/>
          <w:color w:val="000000" w:themeColor="text1"/>
          <w:sz w:val="36"/>
          <w:szCs w:val="36"/>
        </w:rPr>
        <w:t>on expression in the</w:t>
      </w:r>
      <w:r w:rsidR="00D412BB" w:rsidRPr="00FF174A">
        <w:rPr>
          <w:rFonts w:asciiTheme="majorBidi" w:hAnsiTheme="majorBidi" w:cstheme="majorBidi"/>
          <w:b/>
          <w:bCs/>
          <w:color w:val="000000" w:themeColor="text1"/>
          <w:sz w:val="36"/>
          <w:szCs w:val="36"/>
        </w:rPr>
        <w:t xml:space="preserve"> </w:t>
      </w:r>
      <w:proofErr w:type="spellStart"/>
      <w:r w:rsidR="00D412BB" w:rsidRPr="00FF174A">
        <w:rPr>
          <w:rFonts w:asciiTheme="majorBidi" w:hAnsiTheme="majorBidi" w:cstheme="majorBidi"/>
          <w:b/>
          <w:bCs/>
          <w:color w:val="000000" w:themeColor="text1"/>
          <w:sz w:val="36"/>
          <w:szCs w:val="36"/>
        </w:rPr>
        <w:t>protein</w:t>
      </w:r>
      <w:proofErr w:type="spellEnd"/>
      <w:r w:rsidR="00D412BB" w:rsidRPr="00FF174A">
        <w:rPr>
          <w:rFonts w:asciiTheme="majorBidi" w:hAnsiTheme="majorBidi" w:cstheme="majorBidi"/>
          <w:b/>
          <w:bCs/>
          <w:color w:val="000000" w:themeColor="text1"/>
          <w:sz w:val="36"/>
          <w:szCs w:val="36"/>
        </w:rPr>
        <w:t xml:space="preserve"> </w:t>
      </w:r>
      <w:proofErr w:type="spellStart"/>
      <w:r w:rsidR="00D412BB" w:rsidRPr="00FF174A">
        <w:rPr>
          <w:rFonts w:asciiTheme="majorBidi" w:hAnsiTheme="majorBidi" w:cstheme="majorBidi"/>
          <w:b/>
          <w:bCs/>
          <w:color w:val="000000" w:themeColor="text1"/>
          <w:sz w:val="36"/>
          <w:szCs w:val="36"/>
        </w:rPr>
        <w:t>level</w:t>
      </w:r>
      <w:proofErr w:type="spellEnd"/>
      <w:r w:rsidR="00D412BB" w:rsidRPr="00FF174A">
        <w:rPr>
          <w:rFonts w:asciiTheme="majorBidi" w:hAnsiTheme="majorBidi" w:cstheme="majorBidi"/>
          <w:b/>
          <w:bCs/>
          <w:color w:val="000000" w:themeColor="text1"/>
          <w:sz w:val="36"/>
          <w:szCs w:val="36"/>
        </w:rPr>
        <w:t xml:space="preserve"> in </w:t>
      </w:r>
      <w:proofErr w:type="spellStart"/>
      <w:r w:rsidRPr="00FF174A">
        <w:rPr>
          <w:rFonts w:asciiTheme="majorBidi" w:hAnsiTheme="majorBidi" w:cstheme="majorBidi"/>
          <w:b/>
          <w:bCs/>
          <w:color w:val="000000" w:themeColor="text1"/>
          <w:sz w:val="36"/>
          <w:szCs w:val="36"/>
        </w:rPr>
        <w:t>subjects</w:t>
      </w:r>
      <w:proofErr w:type="spellEnd"/>
      <w:r w:rsidRPr="00FF174A">
        <w:rPr>
          <w:rFonts w:asciiTheme="majorBidi" w:hAnsiTheme="majorBidi" w:cstheme="majorBidi"/>
          <w:b/>
          <w:bCs/>
          <w:color w:val="000000" w:themeColor="text1"/>
          <w:sz w:val="36"/>
          <w:szCs w:val="36"/>
        </w:rPr>
        <w:t xml:space="preserve"> </w:t>
      </w:r>
      <w:proofErr w:type="spellStart"/>
      <w:r>
        <w:rPr>
          <w:rFonts w:asciiTheme="majorBidi" w:hAnsiTheme="majorBidi" w:cstheme="majorBidi"/>
          <w:b/>
          <w:bCs/>
          <w:color w:val="000000" w:themeColor="text1"/>
          <w:sz w:val="36"/>
          <w:szCs w:val="36"/>
        </w:rPr>
        <w:t>with</w:t>
      </w:r>
      <w:proofErr w:type="spellEnd"/>
      <w:r>
        <w:rPr>
          <w:rFonts w:asciiTheme="majorBidi" w:hAnsiTheme="majorBidi" w:cstheme="majorBidi"/>
          <w:b/>
          <w:bCs/>
          <w:color w:val="000000" w:themeColor="text1"/>
          <w:sz w:val="36"/>
          <w:szCs w:val="36"/>
        </w:rPr>
        <w:t xml:space="preserve"> </w:t>
      </w:r>
      <w:proofErr w:type="spellStart"/>
      <w:r>
        <w:rPr>
          <w:rFonts w:asciiTheme="majorBidi" w:hAnsiTheme="majorBidi" w:cstheme="majorBidi"/>
          <w:b/>
          <w:bCs/>
          <w:color w:val="000000" w:themeColor="text1"/>
          <w:sz w:val="36"/>
          <w:szCs w:val="36"/>
        </w:rPr>
        <w:t>metabolic</w:t>
      </w:r>
      <w:proofErr w:type="spellEnd"/>
      <w:r>
        <w:rPr>
          <w:rFonts w:asciiTheme="majorBidi" w:hAnsiTheme="majorBidi" w:cstheme="majorBidi"/>
          <w:b/>
          <w:bCs/>
          <w:color w:val="000000" w:themeColor="text1"/>
          <w:sz w:val="36"/>
          <w:szCs w:val="36"/>
        </w:rPr>
        <w:t xml:space="preserve"> syndrome</w:t>
      </w:r>
    </w:p>
    <w:p w14:paraId="5833CEB9" w14:textId="77777777" w:rsidR="004C59CE" w:rsidRPr="003417EB" w:rsidRDefault="004C59CE" w:rsidP="003417EB">
      <w:pPr>
        <w:widowControl w:val="0"/>
        <w:spacing w:after="120" w:line="360" w:lineRule="auto"/>
        <w:jc w:val="both"/>
        <w:rPr>
          <w:rFonts w:asciiTheme="majorBidi" w:hAnsiTheme="majorBidi" w:cstheme="majorBidi"/>
          <w:b/>
          <w:color w:val="000000" w:themeColor="text1"/>
          <w:sz w:val="24"/>
          <w:szCs w:val="24"/>
          <w:lang w:val="en-US"/>
        </w:rPr>
      </w:pPr>
    </w:p>
    <w:p w14:paraId="568E7841" w14:textId="77777777" w:rsidR="004C59CE" w:rsidRPr="003417EB" w:rsidRDefault="004C59CE" w:rsidP="003417EB">
      <w:pPr>
        <w:widowControl w:val="0"/>
        <w:spacing w:after="120" w:line="360" w:lineRule="auto"/>
        <w:jc w:val="both"/>
        <w:rPr>
          <w:rFonts w:asciiTheme="majorBidi" w:hAnsiTheme="majorBidi" w:cstheme="majorBidi"/>
          <w:b/>
          <w:bCs/>
          <w:color w:val="000000" w:themeColor="text1"/>
          <w:sz w:val="24"/>
          <w:szCs w:val="24"/>
          <w:lang w:val="en-US"/>
        </w:rPr>
      </w:pPr>
    </w:p>
    <w:p w14:paraId="32A848C7" w14:textId="77777777" w:rsidR="004C59CE" w:rsidRPr="003417EB" w:rsidRDefault="004C59CE" w:rsidP="003417EB">
      <w:pPr>
        <w:widowControl w:val="0"/>
        <w:spacing w:after="120" w:line="360" w:lineRule="auto"/>
        <w:jc w:val="center"/>
        <w:rPr>
          <w:rFonts w:asciiTheme="majorBidi" w:hAnsiTheme="majorBidi" w:cstheme="majorBidi"/>
          <w:color w:val="000000" w:themeColor="text1"/>
          <w:sz w:val="24"/>
          <w:szCs w:val="24"/>
          <w:lang w:val="en-US"/>
        </w:rPr>
      </w:pPr>
      <w:r w:rsidRPr="003417EB">
        <w:rPr>
          <w:rFonts w:asciiTheme="majorBidi" w:hAnsiTheme="majorBidi" w:cstheme="majorBidi"/>
          <w:color w:val="000000" w:themeColor="text1"/>
          <w:sz w:val="24"/>
          <w:szCs w:val="24"/>
          <w:lang w:val="en-US"/>
        </w:rPr>
        <w:t>Mojgan Gharipour</w:t>
      </w:r>
      <w:r w:rsidRPr="003417EB">
        <w:rPr>
          <w:rFonts w:asciiTheme="majorBidi" w:hAnsiTheme="majorBidi" w:cstheme="majorBidi"/>
          <w:color w:val="000000" w:themeColor="text1"/>
          <w:sz w:val="24"/>
          <w:szCs w:val="24"/>
          <w:vertAlign w:val="superscript"/>
          <w:lang w:val="en-US"/>
        </w:rPr>
        <w:t>1</w:t>
      </w:r>
      <w:r w:rsidRPr="003417EB">
        <w:rPr>
          <w:rFonts w:asciiTheme="majorBidi" w:hAnsiTheme="majorBidi" w:cstheme="majorBidi"/>
          <w:color w:val="000000" w:themeColor="text1"/>
          <w:sz w:val="24"/>
          <w:szCs w:val="24"/>
          <w:lang w:val="en-US"/>
        </w:rPr>
        <w:t>, Masoumeh Sadeghi</w:t>
      </w:r>
      <w:r w:rsidRPr="003417EB">
        <w:rPr>
          <w:rFonts w:asciiTheme="majorBidi" w:hAnsiTheme="majorBidi" w:cstheme="majorBidi"/>
          <w:color w:val="000000" w:themeColor="text1"/>
          <w:sz w:val="24"/>
          <w:szCs w:val="24"/>
          <w:vertAlign w:val="superscript"/>
          <w:lang w:val="en-US"/>
        </w:rPr>
        <w:t>2</w:t>
      </w:r>
      <w:r w:rsidRPr="003417EB">
        <w:rPr>
          <w:rFonts w:asciiTheme="majorBidi" w:hAnsiTheme="majorBidi" w:cstheme="majorBidi"/>
          <w:color w:val="000000" w:themeColor="text1"/>
          <w:sz w:val="24"/>
          <w:szCs w:val="24"/>
          <w:lang w:val="en-US"/>
        </w:rPr>
        <w:t>, Khadija Ouguerram</w:t>
      </w:r>
      <w:r w:rsidRPr="003417EB">
        <w:rPr>
          <w:rFonts w:asciiTheme="majorBidi" w:hAnsiTheme="majorBidi" w:cstheme="majorBidi"/>
          <w:color w:val="000000" w:themeColor="text1"/>
          <w:sz w:val="24"/>
          <w:szCs w:val="24"/>
          <w:vertAlign w:val="superscript"/>
          <w:lang w:val="en-US"/>
        </w:rPr>
        <w:t>3</w:t>
      </w:r>
      <w:r w:rsidRPr="003417EB">
        <w:rPr>
          <w:rFonts w:asciiTheme="majorBidi" w:hAnsiTheme="majorBidi" w:cstheme="majorBidi"/>
          <w:color w:val="000000" w:themeColor="text1"/>
          <w:sz w:val="24"/>
          <w:szCs w:val="24"/>
          <w:lang w:val="en-US"/>
        </w:rPr>
        <w:t>, El-</w:t>
      </w:r>
      <w:proofErr w:type="spellStart"/>
      <w:r w:rsidRPr="003417EB">
        <w:rPr>
          <w:rFonts w:asciiTheme="majorBidi" w:hAnsiTheme="majorBidi" w:cstheme="majorBidi"/>
          <w:color w:val="000000" w:themeColor="text1"/>
          <w:sz w:val="24"/>
          <w:szCs w:val="24"/>
          <w:lang w:val="en-US"/>
        </w:rPr>
        <w:t>Hassane</w:t>
      </w:r>
      <w:proofErr w:type="spellEnd"/>
      <w:r w:rsidRPr="003417EB">
        <w:rPr>
          <w:rFonts w:asciiTheme="majorBidi" w:hAnsiTheme="majorBidi" w:cstheme="majorBidi"/>
          <w:color w:val="000000" w:themeColor="text1"/>
          <w:sz w:val="24"/>
          <w:szCs w:val="24"/>
          <w:lang w:val="en-US"/>
        </w:rPr>
        <w:t xml:space="preserve"> 4 </w:t>
      </w:r>
    </w:p>
    <w:p w14:paraId="7CFCDB19" w14:textId="77777777" w:rsidR="004C59CE" w:rsidRPr="003417EB" w:rsidRDefault="004C59CE" w:rsidP="003417EB">
      <w:pPr>
        <w:widowControl w:val="0"/>
        <w:spacing w:after="120" w:line="360" w:lineRule="auto"/>
        <w:jc w:val="center"/>
        <w:rPr>
          <w:rFonts w:asciiTheme="majorBidi" w:hAnsiTheme="majorBidi" w:cstheme="majorBidi"/>
          <w:color w:val="000000" w:themeColor="text1"/>
          <w:sz w:val="24"/>
          <w:szCs w:val="24"/>
          <w:lang w:val="en-US"/>
        </w:rPr>
      </w:pPr>
      <w:r w:rsidRPr="003417EB">
        <w:rPr>
          <w:rFonts w:asciiTheme="majorBidi" w:hAnsiTheme="majorBidi" w:cstheme="majorBidi"/>
          <w:color w:val="000000" w:themeColor="text1"/>
          <w:sz w:val="24"/>
          <w:szCs w:val="24"/>
          <w:lang w:val="en-US"/>
        </w:rPr>
        <w:t>Cardiac Rehabilitation Research Center, Cardiovascular Research Institute, Isfahan University of Medicine Sciences, Isfahan, Iran.</w:t>
      </w:r>
    </w:p>
    <w:p w14:paraId="0B6E4200" w14:textId="77777777" w:rsidR="004C59CE" w:rsidRPr="003417EB" w:rsidRDefault="004C59CE" w:rsidP="003417EB">
      <w:pPr>
        <w:pStyle w:val="ListParagraph"/>
        <w:widowControl w:val="0"/>
        <w:numPr>
          <w:ilvl w:val="0"/>
          <w:numId w:val="1"/>
        </w:numPr>
        <w:spacing w:after="120" w:line="360" w:lineRule="auto"/>
        <w:jc w:val="both"/>
        <w:rPr>
          <w:rFonts w:asciiTheme="majorBidi" w:hAnsiTheme="majorBidi" w:cstheme="majorBidi"/>
          <w:color w:val="000000" w:themeColor="text1"/>
          <w:sz w:val="24"/>
          <w:szCs w:val="24"/>
          <w:lang w:val="en-US"/>
        </w:rPr>
      </w:pPr>
      <w:r w:rsidRPr="003417EB">
        <w:rPr>
          <w:rFonts w:asciiTheme="majorBidi" w:hAnsiTheme="majorBidi" w:cstheme="majorBidi"/>
          <w:color w:val="000000" w:themeColor="text1"/>
          <w:sz w:val="24"/>
          <w:szCs w:val="24"/>
          <w:lang w:val="en-US"/>
        </w:rPr>
        <w:t>Cardiac Rehabilitation Research Center, Cardiovascular Research Institute, Isfahan University of Medical Sciences, Isfahan, Iran.</w:t>
      </w:r>
    </w:p>
    <w:p w14:paraId="1FE6AD7A" w14:textId="77777777" w:rsidR="004C59CE" w:rsidRPr="003417EB" w:rsidRDefault="004C59CE" w:rsidP="003417EB">
      <w:pPr>
        <w:pStyle w:val="ListParagraph"/>
        <w:widowControl w:val="0"/>
        <w:numPr>
          <w:ilvl w:val="0"/>
          <w:numId w:val="1"/>
        </w:numPr>
        <w:spacing w:after="120" w:line="360" w:lineRule="auto"/>
        <w:jc w:val="both"/>
        <w:rPr>
          <w:rFonts w:asciiTheme="majorBidi" w:hAnsiTheme="majorBidi" w:cstheme="majorBidi"/>
          <w:color w:val="000000" w:themeColor="text1"/>
          <w:sz w:val="24"/>
          <w:szCs w:val="24"/>
        </w:rPr>
      </w:pPr>
      <w:r w:rsidRPr="003417EB">
        <w:rPr>
          <w:rFonts w:asciiTheme="majorBidi" w:hAnsiTheme="majorBidi" w:cstheme="majorBidi"/>
          <w:color w:val="000000" w:themeColor="text1"/>
          <w:sz w:val="24"/>
          <w:szCs w:val="24"/>
        </w:rPr>
        <w:t xml:space="preserve">UMR PHAN, INRA, &amp; Université de Nantes, IMAD, CRNH-Ouest, Nantes, France. </w:t>
      </w:r>
    </w:p>
    <w:p w14:paraId="6F99F2FD" w14:textId="77777777" w:rsidR="004C59CE" w:rsidRPr="003417EB" w:rsidRDefault="004C59CE" w:rsidP="003417EB">
      <w:pPr>
        <w:pStyle w:val="ListParagraph"/>
        <w:widowControl w:val="0"/>
        <w:numPr>
          <w:ilvl w:val="0"/>
          <w:numId w:val="1"/>
        </w:numPr>
        <w:spacing w:after="120" w:line="360" w:lineRule="auto"/>
        <w:jc w:val="both"/>
        <w:rPr>
          <w:rFonts w:asciiTheme="majorBidi" w:hAnsiTheme="majorBidi" w:cstheme="majorBidi"/>
          <w:color w:val="000000" w:themeColor="text1"/>
          <w:sz w:val="24"/>
          <w:szCs w:val="24"/>
        </w:rPr>
      </w:pPr>
      <w:r w:rsidRPr="003417EB">
        <w:rPr>
          <w:rFonts w:asciiTheme="majorBidi" w:hAnsiTheme="majorBidi" w:cstheme="majorBidi"/>
          <w:color w:val="000000" w:themeColor="text1"/>
          <w:sz w:val="24"/>
          <w:szCs w:val="24"/>
        </w:rPr>
        <w:t xml:space="preserve">MMS-EA2160, IUML- Institut Universitaire Mer et Littoral - FR3473 CNRS, Nantes, France. </w:t>
      </w:r>
    </w:p>
    <w:p w14:paraId="000BD3AB" w14:textId="77777777" w:rsidR="004C59CE" w:rsidRPr="003417EB" w:rsidRDefault="004C59CE" w:rsidP="003417EB">
      <w:pPr>
        <w:pStyle w:val="ListParagraph"/>
        <w:widowControl w:val="0"/>
        <w:numPr>
          <w:ilvl w:val="0"/>
          <w:numId w:val="1"/>
        </w:numPr>
        <w:spacing w:after="120" w:line="360" w:lineRule="auto"/>
        <w:jc w:val="both"/>
        <w:rPr>
          <w:rFonts w:asciiTheme="majorBidi" w:hAnsiTheme="majorBidi" w:cstheme="majorBidi"/>
          <w:color w:val="000000" w:themeColor="text1"/>
          <w:sz w:val="24"/>
          <w:szCs w:val="24"/>
          <w:lang w:val="en-US"/>
        </w:rPr>
      </w:pPr>
      <w:r w:rsidRPr="003417EB">
        <w:rPr>
          <w:rFonts w:asciiTheme="majorBidi" w:hAnsiTheme="majorBidi" w:cstheme="majorBidi"/>
          <w:color w:val="000000" w:themeColor="text1"/>
          <w:sz w:val="24"/>
          <w:szCs w:val="24"/>
          <w:lang w:val="en-US"/>
        </w:rPr>
        <w:t xml:space="preserve">Department of Genetics, Faculty of Biological Sciences, </w:t>
      </w:r>
      <w:proofErr w:type="spellStart"/>
      <w:r w:rsidRPr="003417EB">
        <w:rPr>
          <w:rFonts w:asciiTheme="majorBidi" w:hAnsiTheme="majorBidi" w:cstheme="majorBidi"/>
          <w:color w:val="000000" w:themeColor="text1"/>
          <w:sz w:val="24"/>
          <w:szCs w:val="24"/>
          <w:lang w:val="en-US"/>
        </w:rPr>
        <w:t>Tarbiat</w:t>
      </w:r>
      <w:proofErr w:type="spellEnd"/>
      <w:r w:rsidRPr="003417EB">
        <w:rPr>
          <w:rFonts w:asciiTheme="majorBidi" w:hAnsiTheme="majorBidi" w:cstheme="majorBidi"/>
          <w:color w:val="000000" w:themeColor="text1"/>
          <w:sz w:val="24"/>
          <w:szCs w:val="24"/>
          <w:lang w:val="en-US"/>
        </w:rPr>
        <w:t xml:space="preserve"> </w:t>
      </w:r>
      <w:proofErr w:type="spellStart"/>
      <w:r w:rsidRPr="003417EB">
        <w:rPr>
          <w:rFonts w:asciiTheme="majorBidi" w:hAnsiTheme="majorBidi" w:cstheme="majorBidi"/>
          <w:color w:val="000000" w:themeColor="text1"/>
          <w:sz w:val="24"/>
          <w:szCs w:val="24"/>
          <w:lang w:val="en-US"/>
        </w:rPr>
        <w:t>Modares</w:t>
      </w:r>
      <w:proofErr w:type="spellEnd"/>
      <w:r w:rsidRPr="003417EB">
        <w:rPr>
          <w:rFonts w:asciiTheme="majorBidi" w:hAnsiTheme="majorBidi" w:cstheme="majorBidi"/>
          <w:color w:val="000000" w:themeColor="text1"/>
          <w:sz w:val="24"/>
          <w:szCs w:val="24"/>
          <w:lang w:val="en-US"/>
        </w:rPr>
        <w:t xml:space="preserve"> University, Tehran, Iran.</w:t>
      </w:r>
    </w:p>
    <w:p w14:paraId="60C3EF0E" w14:textId="77777777" w:rsidR="004C59CE" w:rsidRPr="003417EB" w:rsidRDefault="004C59CE" w:rsidP="003417EB">
      <w:pPr>
        <w:spacing w:line="360" w:lineRule="auto"/>
        <w:rPr>
          <w:rFonts w:asciiTheme="majorBidi" w:hAnsiTheme="majorBidi" w:cstheme="majorBidi"/>
          <w:sz w:val="24"/>
          <w:szCs w:val="24"/>
        </w:rPr>
      </w:pPr>
    </w:p>
    <w:p w14:paraId="62EB94C0" w14:textId="77777777" w:rsidR="00E32708" w:rsidRDefault="00E32708" w:rsidP="003417EB">
      <w:pPr>
        <w:spacing w:after="120" w:line="360" w:lineRule="auto"/>
        <w:jc w:val="both"/>
        <w:rPr>
          <w:rFonts w:asciiTheme="majorBidi" w:hAnsiTheme="majorBidi" w:cstheme="majorBidi"/>
          <w:b/>
          <w:color w:val="000000" w:themeColor="text1"/>
          <w:sz w:val="24"/>
          <w:szCs w:val="24"/>
          <w:lang w:val="en-US"/>
        </w:rPr>
      </w:pPr>
    </w:p>
    <w:p w14:paraId="57B6E52C" w14:textId="77777777" w:rsidR="004C59CE" w:rsidRPr="003417EB" w:rsidRDefault="004C59CE" w:rsidP="003417EB">
      <w:pPr>
        <w:spacing w:after="120" w:line="360" w:lineRule="auto"/>
        <w:jc w:val="both"/>
        <w:rPr>
          <w:rFonts w:asciiTheme="majorBidi" w:hAnsiTheme="majorBidi" w:cstheme="majorBidi"/>
          <w:b/>
          <w:color w:val="000000" w:themeColor="text1"/>
          <w:sz w:val="24"/>
          <w:szCs w:val="24"/>
          <w:lang w:val="en-US"/>
        </w:rPr>
      </w:pPr>
      <w:r w:rsidRPr="003417EB">
        <w:rPr>
          <w:rFonts w:asciiTheme="majorBidi" w:hAnsiTheme="majorBidi" w:cstheme="majorBidi"/>
          <w:b/>
          <w:color w:val="000000" w:themeColor="text1"/>
          <w:sz w:val="24"/>
          <w:szCs w:val="24"/>
          <w:lang w:val="en-US"/>
        </w:rPr>
        <w:lastRenderedPageBreak/>
        <w:t>Abstract</w:t>
      </w:r>
    </w:p>
    <w:p w14:paraId="1E829E7B" w14:textId="77777777" w:rsidR="004C59CE" w:rsidRPr="003417EB" w:rsidRDefault="004C59CE" w:rsidP="003417EB">
      <w:pPr>
        <w:widowControl w:val="0"/>
        <w:spacing w:after="120" w:line="360" w:lineRule="auto"/>
        <w:jc w:val="both"/>
        <w:rPr>
          <w:rFonts w:asciiTheme="majorBidi" w:hAnsiTheme="majorBidi" w:cstheme="majorBidi"/>
          <w:color w:val="000000" w:themeColor="text1"/>
          <w:sz w:val="24"/>
          <w:szCs w:val="24"/>
          <w:u w:color="21377D"/>
          <w:lang w:val="en-US"/>
        </w:rPr>
      </w:pPr>
      <w:r w:rsidRPr="003417EB">
        <w:rPr>
          <w:rFonts w:asciiTheme="majorBidi" w:hAnsiTheme="majorBidi" w:cstheme="majorBidi"/>
          <w:color w:val="000000" w:themeColor="text1"/>
          <w:sz w:val="24"/>
          <w:szCs w:val="24"/>
          <w:lang w:val="en-US"/>
        </w:rPr>
        <w:t>The incidence of metabolic syndrome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is due to the interaction between environmental factors </w:t>
      </w:r>
      <w:r w:rsidRPr="003417EB">
        <w:rPr>
          <w:rFonts w:asciiTheme="majorBidi" w:hAnsiTheme="majorBidi" w:cstheme="majorBidi"/>
          <w:noProof/>
          <w:color w:val="000000" w:themeColor="text1"/>
          <w:sz w:val="24"/>
          <w:szCs w:val="24"/>
          <w:lang w:val="en-US"/>
        </w:rPr>
        <w:t>and</w:t>
      </w:r>
      <w:r w:rsidRPr="003417EB">
        <w:rPr>
          <w:rFonts w:asciiTheme="majorBidi" w:hAnsiTheme="majorBidi" w:cstheme="majorBidi"/>
          <w:color w:val="000000" w:themeColor="text1"/>
          <w:sz w:val="24"/>
          <w:szCs w:val="24"/>
          <w:lang w:val="en-US"/>
        </w:rPr>
        <w:t xml:space="preserve"> genetic factors, some previous studies </w:t>
      </w:r>
      <w:r w:rsidRPr="003417EB">
        <w:rPr>
          <w:rFonts w:asciiTheme="majorBidi" w:hAnsiTheme="majorBidi" w:cstheme="majorBidi"/>
          <w:noProof/>
          <w:color w:val="000000" w:themeColor="text1"/>
          <w:sz w:val="24"/>
          <w:szCs w:val="24"/>
          <w:lang w:val="en-US"/>
        </w:rPr>
        <w:t>considered</w:t>
      </w:r>
      <w:r w:rsidRPr="003417EB">
        <w:rPr>
          <w:rFonts w:asciiTheme="majorBidi" w:hAnsiTheme="majorBidi" w:cstheme="majorBidi"/>
          <w:color w:val="000000" w:themeColor="text1"/>
          <w:sz w:val="24"/>
          <w:szCs w:val="24"/>
          <w:lang w:val="en-US"/>
        </w:rPr>
        <w:t xml:space="preserve"> the role of selenium in developing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Two selenoproteins SEPP1 and SEPS1, which</w:t>
      </w:r>
      <w:r w:rsidRPr="003417EB">
        <w:rPr>
          <w:rFonts w:asciiTheme="majorBidi" w:hAnsiTheme="majorBidi" w:cstheme="majorBidi"/>
          <w:noProof/>
          <w:color w:val="000000" w:themeColor="text1"/>
          <w:sz w:val="24"/>
          <w:szCs w:val="24"/>
          <w:lang w:val="en-US"/>
        </w:rPr>
        <w:t xml:space="preserve"> are</w:t>
      </w:r>
      <w:r w:rsidRPr="003417EB">
        <w:rPr>
          <w:rFonts w:asciiTheme="majorBidi" w:hAnsiTheme="majorBidi" w:cstheme="majorBidi"/>
          <w:color w:val="000000" w:themeColor="text1"/>
          <w:sz w:val="24"/>
          <w:szCs w:val="24"/>
          <w:lang w:val="en-US"/>
        </w:rPr>
        <w:t xml:space="preserve"> responsible for </w:t>
      </w:r>
      <w:proofErr w:type="spellStart"/>
      <w:r w:rsidRPr="003417EB">
        <w:rPr>
          <w:rFonts w:asciiTheme="majorBidi" w:hAnsiTheme="majorBidi" w:cstheme="majorBidi"/>
          <w:color w:val="000000" w:themeColor="text1"/>
          <w:sz w:val="24"/>
          <w:szCs w:val="24"/>
          <w:lang w:val="en-US"/>
        </w:rPr>
        <w:t>antioxidative</w:t>
      </w:r>
      <w:proofErr w:type="spellEnd"/>
      <w:r w:rsidRPr="003417EB">
        <w:rPr>
          <w:rFonts w:asciiTheme="majorBidi" w:hAnsiTheme="majorBidi" w:cstheme="majorBidi"/>
          <w:color w:val="000000" w:themeColor="text1"/>
          <w:sz w:val="24"/>
          <w:szCs w:val="24"/>
          <w:lang w:val="en-US"/>
        </w:rPr>
        <w:t xml:space="preserve"> </w:t>
      </w:r>
      <w:r w:rsidRPr="003417EB">
        <w:rPr>
          <w:rFonts w:asciiTheme="majorBidi" w:hAnsiTheme="majorBidi" w:cstheme="majorBidi"/>
          <w:noProof/>
          <w:color w:val="000000" w:themeColor="text1"/>
          <w:sz w:val="24"/>
          <w:szCs w:val="24"/>
          <w:lang w:val="en-US"/>
        </w:rPr>
        <w:t>defence</w:t>
      </w:r>
      <w:r w:rsidRPr="003417EB">
        <w:rPr>
          <w:rFonts w:asciiTheme="majorBidi" w:hAnsiTheme="majorBidi" w:cstheme="majorBidi"/>
          <w:color w:val="000000" w:themeColor="text1"/>
          <w:sz w:val="24"/>
          <w:szCs w:val="24"/>
          <w:lang w:val="en-US"/>
        </w:rPr>
        <w:t xml:space="preserve"> and susceptibility to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Since the involvement of SNPs in SEPP1 and SEPS1 have not studied in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and its components. This study aims at investigating the associations between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risk and four </w:t>
      </w:r>
      <w:proofErr w:type="spellStart"/>
      <w:r w:rsidRPr="003417EB">
        <w:rPr>
          <w:rFonts w:asciiTheme="majorBidi" w:hAnsiTheme="majorBidi" w:cstheme="majorBidi"/>
          <w:color w:val="000000" w:themeColor="text1"/>
          <w:sz w:val="24"/>
          <w:szCs w:val="24"/>
          <w:lang w:val="en-US"/>
        </w:rPr>
        <w:t>selenoprotein</w:t>
      </w:r>
      <w:proofErr w:type="spellEnd"/>
      <w:r w:rsidRPr="003417EB">
        <w:rPr>
          <w:rFonts w:asciiTheme="majorBidi" w:hAnsiTheme="majorBidi" w:cstheme="majorBidi"/>
          <w:color w:val="000000" w:themeColor="text1"/>
          <w:sz w:val="24"/>
          <w:szCs w:val="24"/>
          <w:lang w:val="en-US"/>
        </w:rPr>
        <w:t xml:space="preserve"> genetic polymorphisms SEPS1 </w:t>
      </w:r>
      <w:r w:rsidRPr="003417EB">
        <w:rPr>
          <w:rFonts w:asciiTheme="majorBidi" w:hAnsiTheme="majorBidi" w:cstheme="majorBidi"/>
          <w:noProof/>
          <w:color w:val="000000" w:themeColor="text1"/>
          <w:sz w:val="24"/>
          <w:szCs w:val="24"/>
          <w:lang w:val="en-US"/>
        </w:rPr>
        <w:t>(rs28665122),</w:t>
      </w:r>
      <w:r w:rsidRPr="003417EB">
        <w:rPr>
          <w:rFonts w:asciiTheme="majorBidi" w:hAnsiTheme="majorBidi" w:cstheme="majorBidi"/>
          <w:color w:val="000000" w:themeColor="text1"/>
          <w:sz w:val="24"/>
          <w:szCs w:val="24"/>
          <w:lang w:val="en-US"/>
        </w:rPr>
        <w:t xml:space="preserve"> SEPS1 (rs4965373), SEPP1 (rs7579) and SEPP1 (rs3877899) in an Iranian population.</w:t>
      </w:r>
    </w:p>
    <w:p w14:paraId="140691D4" w14:textId="77777777" w:rsidR="004C59CE" w:rsidRPr="003417EB" w:rsidRDefault="004C59CE" w:rsidP="003417EB">
      <w:pPr>
        <w:widowControl w:val="0"/>
        <w:spacing w:after="120" w:line="360" w:lineRule="auto"/>
        <w:jc w:val="both"/>
        <w:rPr>
          <w:rFonts w:asciiTheme="majorBidi" w:hAnsiTheme="majorBidi" w:cstheme="majorBidi"/>
          <w:color w:val="000000" w:themeColor="text1"/>
          <w:sz w:val="24"/>
          <w:szCs w:val="24"/>
          <w:lang w:val="en-US"/>
        </w:rPr>
      </w:pPr>
      <w:r w:rsidRPr="003417EB">
        <w:rPr>
          <w:rFonts w:asciiTheme="majorBidi" w:hAnsiTheme="majorBidi" w:cstheme="majorBidi"/>
          <w:b/>
          <w:bCs/>
          <w:color w:val="000000" w:themeColor="text1"/>
          <w:sz w:val="24"/>
          <w:szCs w:val="24"/>
          <w:lang w:val="en-US"/>
        </w:rPr>
        <w:t>Material and Method:</w:t>
      </w:r>
      <w:r w:rsidRPr="003417EB">
        <w:rPr>
          <w:rFonts w:asciiTheme="majorBidi" w:hAnsiTheme="majorBidi" w:cstheme="majorBidi"/>
          <w:color w:val="000000" w:themeColor="text1"/>
          <w:sz w:val="24"/>
          <w:szCs w:val="24"/>
          <w:lang w:val="en-US"/>
        </w:rPr>
        <w:t xml:space="preserve"> The study sample of this case-control consisted of 136 Iranian patients with cardiovascular disease (71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-affected individuals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65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un-affected individuals (control)) from December 2015 until March 2016. Demographic data, medical history, stress, physical activity, smoking habit, anthropometric measurements, FBS, total cholesterol, triglyceride, HDL, and LDL cholesterol determined. Taqman probes used for allelic discrimination of two polymorphic variants of SEPP1 (rs7579) and (rs3877899) and SEPS1 (rs4965373). </w:t>
      </w:r>
      <w:r w:rsidRPr="003417EB">
        <w:rPr>
          <w:rFonts w:asciiTheme="majorBidi" w:hAnsiTheme="majorBidi" w:cstheme="majorBidi"/>
          <w:noProof/>
          <w:color w:val="000000" w:themeColor="text1"/>
          <w:sz w:val="24"/>
          <w:szCs w:val="24"/>
          <w:lang w:val="en-US"/>
        </w:rPr>
        <w:t>The strength</w:t>
      </w:r>
      <w:r w:rsidRPr="003417EB">
        <w:rPr>
          <w:rFonts w:asciiTheme="majorBidi" w:hAnsiTheme="majorBidi" w:cstheme="majorBidi"/>
          <w:color w:val="000000" w:themeColor="text1"/>
          <w:sz w:val="24"/>
          <w:szCs w:val="24"/>
          <w:lang w:val="en-US"/>
        </w:rPr>
        <w:t xml:space="preserve"> of association </w:t>
      </w:r>
      <w:r w:rsidRPr="003417EB">
        <w:rPr>
          <w:rFonts w:asciiTheme="majorBidi" w:hAnsiTheme="majorBidi" w:cstheme="majorBidi"/>
          <w:noProof/>
          <w:color w:val="000000" w:themeColor="text1"/>
          <w:sz w:val="24"/>
          <w:szCs w:val="24"/>
          <w:lang w:val="en-US"/>
        </w:rPr>
        <w:t>was presented</w:t>
      </w:r>
      <w:r w:rsidRPr="003417EB">
        <w:rPr>
          <w:rFonts w:asciiTheme="majorBidi" w:hAnsiTheme="majorBidi" w:cstheme="majorBidi"/>
          <w:color w:val="000000" w:themeColor="text1"/>
          <w:sz w:val="24"/>
          <w:szCs w:val="24"/>
          <w:lang w:val="en-US"/>
        </w:rPr>
        <w:t xml:space="preserve"> as odds ratio by using logistic </w:t>
      </w:r>
      <w:r w:rsidRPr="003417EB">
        <w:rPr>
          <w:rFonts w:asciiTheme="majorBidi" w:hAnsiTheme="majorBidi" w:cstheme="majorBidi"/>
          <w:noProof/>
          <w:color w:val="000000" w:themeColor="text1"/>
          <w:sz w:val="24"/>
          <w:szCs w:val="24"/>
          <w:lang w:val="en-US"/>
        </w:rPr>
        <w:t>regression model.</w:t>
      </w:r>
    </w:p>
    <w:p w14:paraId="5B152DE2" w14:textId="77777777" w:rsidR="004C59CE" w:rsidRPr="003417EB" w:rsidRDefault="004C59CE" w:rsidP="003417EB">
      <w:pPr>
        <w:spacing w:after="120" w:line="360" w:lineRule="auto"/>
        <w:jc w:val="both"/>
        <w:rPr>
          <w:rFonts w:asciiTheme="majorBidi" w:hAnsiTheme="majorBidi" w:cstheme="majorBidi"/>
          <w:color w:val="000000" w:themeColor="text1"/>
          <w:sz w:val="24"/>
          <w:szCs w:val="24"/>
          <w:lang w:val="en-US"/>
        </w:rPr>
      </w:pPr>
      <w:r w:rsidRPr="003417EB">
        <w:rPr>
          <w:rFonts w:asciiTheme="majorBidi" w:hAnsiTheme="majorBidi" w:cstheme="majorBidi"/>
          <w:b/>
          <w:color w:val="000000" w:themeColor="text1"/>
          <w:sz w:val="24"/>
          <w:szCs w:val="24"/>
          <w:lang w:val="en-US"/>
        </w:rPr>
        <w:t>Results:</w:t>
      </w:r>
      <w:r w:rsidRPr="003417EB">
        <w:rPr>
          <w:rFonts w:asciiTheme="majorBidi" w:hAnsiTheme="majorBidi" w:cstheme="majorBidi"/>
          <w:color w:val="000000" w:themeColor="text1"/>
          <w:sz w:val="24"/>
          <w:szCs w:val="24"/>
          <w:lang w:val="en-US"/>
        </w:rPr>
        <w:t xml:space="preserve"> TG is higher among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subjects (198.5±122.0 vs 139.1±86.5, P=0.003). Systolic and diastolic blood pressure, BMI, WC, were higher among subjects with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(P=0.05). Non-significant differences were found in genotypic of the SNPs of SEPS1 (rs4965373), SEPS1 (rs28665122), SEPP1 (rs7579) and SEPP1 (rs3877899) between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and control group. The results of this </w:t>
      </w:r>
      <w:r w:rsidRPr="003417EB">
        <w:rPr>
          <w:rFonts w:asciiTheme="majorBidi" w:hAnsiTheme="majorBidi" w:cstheme="majorBidi"/>
          <w:noProof/>
          <w:color w:val="000000" w:themeColor="text1"/>
          <w:sz w:val="24"/>
          <w:szCs w:val="24"/>
          <w:lang w:val="en-US"/>
        </w:rPr>
        <w:t>case-control</w:t>
      </w:r>
      <w:r w:rsidRPr="003417EB">
        <w:rPr>
          <w:rFonts w:asciiTheme="majorBidi" w:hAnsiTheme="majorBidi" w:cstheme="majorBidi"/>
          <w:color w:val="000000" w:themeColor="text1"/>
          <w:sz w:val="24"/>
          <w:szCs w:val="24"/>
          <w:lang w:val="en-US"/>
        </w:rPr>
        <w:t xml:space="preserve"> study showed no significant associations between components of </w:t>
      </w:r>
      <w:proofErr w:type="spellStart"/>
      <w:r w:rsidRPr="003417EB">
        <w:rPr>
          <w:rFonts w:asciiTheme="majorBidi" w:hAnsiTheme="majorBidi" w:cstheme="majorBidi"/>
          <w:color w:val="000000" w:themeColor="text1"/>
          <w:sz w:val="24"/>
          <w:szCs w:val="24"/>
          <w:lang w:val="en-US"/>
        </w:rPr>
        <w:t>MetS</w:t>
      </w:r>
      <w:proofErr w:type="spellEnd"/>
      <w:r w:rsidRPr="003417EB">
        <w:rPr>
          <w:rFonts w:asciiTheme="majorBidi" w:hAnsiTheme="majorBidi" w:cstheme="majorBidi"/>
          <w:color w:val="000000" w:themeColor="text1"/>
          <w:sz w:val="24"/>
          <w:szCs w:val="24"/>
          <w:lang w:val="en-US"/>
        </w:rPr>
        <w:t xml:space="preserve"> and polymorphisms in </w:t>
      </w:r>
      <w:proofErr w:type="spellStart"/>
      <w:r w:rsidRPr="003417EB">
        <w:rPr>
          <w:rFonts w:asciiTheme="majorBidi" w:hAnsiTheme="majorBidi" w:cstheme="majorBidi"/>
          <w:color w:val="000000" w:themeColor="text1"/>
          <w:sz w:val="24"/>
          <w:szCs w:val="24"/>
          <w:lang w:val="en-US"/>
        </w:rPr>
        <w:t>selenoprotein</w:t>
      </w:r>
      <w:proofErr w:type="spellEnd"/>
      <w:r w:rsidRPr="003417EB">
        <w:rPr>
          <w:rFonts w:asciiTheme="majorBidi" w:hAnsiTheme="majorBidi" w:cstheme="majorBidi"/>
          <w:color w:val="000000" w:themeColor="text1"/>
          <w:sz w:val="24"/>
          <w:szCs w:val="24"/>
          <w:lang w:val="en-US"/>
        </w:rPr>
        <w:t xml:space="preserve"> SEPS1 (rs4965373), (rs28665122), SEPP1 (rs7579) and SEPP1 (rs3877899) in an Iranian population. </w:t>
      </w:r>
    </w:p>
    <w:p w14:paraId="568E15F6" w14:textId="77777777" w:rsidR="004C59CE" w:rsidRPr="003417EB" w:rsidRDefault="004C59CE" w:rsidP="003417EB">
      <w:pPr>
        <w:tabs>
          <w:tab w:val="left" w:pos="1005"/>
        </w:tabs>
        <w:spacing w:after="120" w:line="360" w:lineRule="auto"/>
        <w:jc w:val="both"/>
        <w:rPr>
          <w:rFonts w:asciiTheme="majorBidi" w:hAnsiTheme="majorBidi" w:cstheme="majorBidi"/>
          <w:color w:val="000000" w:themeColor="text1"/>
          <w:sz w:val="24"/>
          <w:szCs w:val="24"/>
          <w:u w:color="21377D"/>
          <w:lang w:val="en-US"/>
        </w:rPr>
      </w:pPr>
      <w:r w:rsidRPr="003417EB">
        <w:rPr>
          <w:rFonts w:asciiTheme="majorBidi" w:hAnsiTheme="majorBidi" w:cstheme="majorBidi"/>
          <w:b/>
          <w:bCs/>
          <w:color w:val="000000" w:themeColor="text1"/>
          <w:sz w:val="24"/>
          <w:szCs w:val="24"/>
          <w:lang w:val="en-US"/>
        </w:rPr>
        <w:t>Conclusion</w:t>
      </w:r>
      <w:r w:rsidRPr="003417EB">
        <w:rPr>
          <w:rFonts w:asciiTheme="majorBidi" w:hAnsiTheme="majorBidi" w:cstheme="majorBidi"/>
          <w:color w:val="000000" w:themeColor="text1"/>
          <w:sz w:val="24"/>
          <w:szCs w:val="24"/>
          <w:lang w:val="en-US"/>
        </w:rPr>
        <w:t xml:space="preserve">: </w:t>
      </w:r>
      <w:r w:rsidRPr="003417EB">
        <w:rPr>
          <w:rFonts w:asciiTheme="majorBidi" w:hAnsiTheme="majorBidi" w:cstheme="majorBidi"/>
          <w:color w:val="000000" w:themeColor="text1"/>
          <w:sz w:val="24"/>
          <w:szCs w:val="24"/>
          <w:u w:color="21377D"/>
          <w:lang w:val="en-US"/>
        </w:rPr>
        <w:t xml:space="preserve">In summary, the findings from the current study reveal no association of SEPS1 and SELPP1 variants with </w:t>
      </w:r>
      <w:r w:rsidRPr="003417EB">
        <w:rPr>
          <w:rFonts w:asciiTheme="majorBidi" w:hAnsiTheme="majorBidi" w:cstheme="majorBidi"/>
          <w:noProof/>
          <w:color w:val="000000" w:themeColor="text1"/>
          <w:sz w:val="24"/>
          <w:szCs w:val="24"/>
          <w:lang w:val="en-US"/>
        </w:rPr>
        <w:t>MetS in an</w:t>
      </w:r>
      <w:r w:rsidRPr="003417EB">
        <w:rPr>
          <w:rFonts w:asciiTheme="majorBidi" w:hAnsiTheme="majorBidi" w:cstheme="majorBidi"/>
          <w:color w:val="000000" w:themeColor="text1"/>
          <w:sz w:val="24"/>
          <w:szCs w:val="24"/>
          <w:u w:color="21377D"/>
          <w:lang w:val="en-US"/>
        </w:rPr>
        <w:t xml:space="preserve"> </w:t>
      </w:r>
      <w:r w:rsidRPr="003417EB">
        <w:rPr>
          <w:rFonts w:asciiTheme="majorBidi" w:hAnsiTheme="majorBidi" w:cstheme="majorBidi"/>
          <w:noProof/>
          <w:color w:val="000000" w:themeColor="text1"/>
          <w:sz w:val="24"/>
          <w:szCs w:val="24"/>
          <w:lang w:val="en-US"/>
        </w:rPr>
        <w:t>Iranian</w:t>
      </w:r>
      <w:r w:rsidRPr="003417EB">
        <w:rPr>
          <w:rFonts w:asciiTheme="majorBidi" w:hAnsiTheme="majorBidi" w:cstheme="majorBidi"/>
          <w:color w:val="000000" w:themeColor="text1"/>
          <w:sz w:val="24"/>
          <w:szCs w:val="24"/>
          <w:u w:color="21377D"/>
          <w:lang w:val="en-US"/>
        </w:rPr>
        <w:t xml:space="preserve"> population with CVD. It seems that posttranslational changes in this gene would be responsible for the relationship between the product of these genes and </w:t>
      </w:r>
      <w:proofErr w:type="spellStart"/>
      <w:r w:rsidRPr="003417EB">
        <w:rPr>
          <w:rFonts w:asciiTheme="majorBidi" w:hAnsiTheme="majorBidi" w:cstheme="majorBidi"/>
          <w:color w:val="000000" w:themeColor="text1"/>
          <w:sz w:val="24"/>
          <w:szCs w:val="24"/>
          <w:u w:color="21377D"/>
          <w:lang w:val="en-US"/>
        </w:rPr>
        <w:t>MetS</w:t>
      </w:r>
      <w:proofErr w:type="spellEnd"/>
      <w:r w:rsidRPr="003417EB">
        <w:rPr>
          <w:rFonts w:asciiTheme="majorBidi" w:hAnsiTheme="majorBidi" w:cstheme="majorBidi"/>
          <w:color w:val="000000" w:themeColor="text1"/>
          <w:sz w:val="24"/>
          <w:szCs w:val="24"/>
          <w:u w:color="21377D"/>
          <w:lang w:val="en-US"/>
        </w:rPr>
        <w:t>.</w:t>
      </w:r>
    </w:p>
    <w:p w14:paraId="23ED568F" w14:textId="77777777" w:rsidR="004C59CE" w:rsidRPr="003417EB" w:rsidRDefault="004C59CE" w:rsidP="003417EB">
      <w:pPr>
        <w:tabs>
          <w:tab w:val="left" w:pos="1005"/>
        </w:tabs>
        <w:spacing w:after="120" w:line="360" w:lineRule="auto"/>
        <w:jc w:val="both"/>
        <w:rPr>
          <w:rFonts w:asciiTheme="majorBidi" w:hAnsiTheme="majorBidi" w:cstheme="majorBidi"/>
          <w:color w:val="000000" w:themeColor="text1"/>
          <w:sz w:val="24"/>
          <w:szCs w:val="24"/>
          <w:lang w:val="en-US"/>
        </w:rPr>
      </w:pPr>
      <w:r w:rsidRPr="003417EB">
        <w:rPr>
          <w:rFonts w:asciiTheme="majorBidi" w:hAnsiTheme="majorBidi" w:cstheme="majorBidi"/>
          <w:b/>
          <w:color w:val="000000" w:themeColor="text1"/>
          <w:sz w:val="24"/>
          <w:szCs w:val="24"/>
          <w:lang w:val="en-US"/>
        </w:rPr>
        <w:t>Keyword</w:t>
      </w:r>
      <w:r w:rsidRPr="003417EB">
        <w:rPr>
          <w:rFonts w:asciiTheme="majorBidi" w:hAnsiTheme="majorBidi" w:cstheme="majorBidi"/>
          <w:color w:val="000000" w:themeColor="text1"/>
          <w:sz w:val="24"/>
          <w:szCs w:val="24"/>
          <w:lang w:val="en-US"/>
        </w:rPr>
        <w:t xml:space="preserve">: polymorphisms, </w:t>
      </w:r>
      <w:proofErr w:type="spellStart"/>
      <w:r w:rsidRPr="003417EB">
        <w:rPr>
          <w:rFonts w:asciiTheme="majorBidi" w:hAnsiTheme="majorBidi" w:cstheme="majorBidi"/>
          <w:color w:val="000000" w:themeColor="text1"/>
          <w:sz w:val="24"/>
          <w:szCs w:val="24"/>
          <w:lang w:val="en-US"/>
        </w:rPr>
        <w:t>selenoprotein</w:t>
      </w:r>
      <w:proofErr w:type="spellEnd"/>
      <w:r w:rsidRPr="003417EB">
        <w:rPr>
          <w:rFonts w:asciiTheme="majorBidi" w:hAnsiTheme="majorBidi" w:cstheme="majorBidi"/>
          <w:color w:val="000000" w:themeColor="text1"/>
          <w:sz w:val="24"/>
          <w:szCs w:val="24"/>
          <w:lang w:val="en-US"/>
        </w:rPr>
        <w:t xml:space="preserve"> p, </w:t>
      </w:r>
      <w:proofErr w:type="spellStart"/>
      <w:r w:rsidRPr="003417EB">
        <w:rPr>
          <w:rFonts w:asciiTheme="majorBidi" w:hAnsiTheme="majorBidi" w:cstheme="majorBidi"/>
          <w:color w:val="000000" w:themeColor="text1"/>
          <w:sz w:val="24"/>
          <w:szCs w:val="24"/>
          <w:lang w:val="en-US"/>
        </w:rPr>
        <w:t>selenoprotein</w:t>
      </w:r>
      <w:proofErr w:type="spellEnd"/>
      <w:r w:rsidRPr="003417EB">
        <w:rPr>
          <w:rFonts w:asciiTheme="majorBidi" w:hAnsiTheme="majorBidi" w:cstheme="majorBidi"/>
          <w:color w:val="000000" w:themeColor="text1"/>
          <w:sz w:val="24"/>
          <w:szCs w:val="24"/>
          <w:lang w:val="en-US"/>
        </w:rPr>
        <w:t xml:space="preserve"> s, gene, metabolic syndrome, cardiovascular disease.</w:t>
      </w:r>
    </w:p>
    <w:p w14:paraId="187B43F3" w14:textId="77777777" w:rsidR="00E32708" w:rsidRDefault="00E32708" w:rsidP="003417EB">
      <w:pPr>
        <w:spacing w:after="0" w:line="360" w:lineRule="auto"/>
        <w:jc w:val="both"/>
        <w:rPr>
          <w:rFonts w:asciiTheme="majorBidi" w:eastAsia="Times New Roman" w:hAnsiTheme="majorBidi" w:cstheme="majorBidi"/>
          <w:b/>
          <w:bCs/>
          <w:color w:val="26282A"/>
          <w:sz w:val="24"/>
          <w:szCs w:val="24"/>
          <w:lang w:val="en-US"/>
        </w:rPr>
      </w:pPr>
    </w:p>
    <w:p w14:paraId="4BEA6E4F" w14:textId="77777777" w:rsidR="00E32708" w:rsidRDefault="00E32708" w:rsidP="003417EB">
      <w:pPr>
        <w:spacing w:after="0" w:line="360" w:lineRule="auto"/>
        <w:jc w:val="both"/>
        <w:rPr>
          <w:rFonts w:asciiTheme="majorBidi" w:eastAsia="Times New Roman" w:hAnsiTheme="majorBidi" w:cstheme="majorBidi"/>
          <w:b/>
          <w:bCs/>
          <w:color w:val="26282A"/>
          <w:sz w:val="24"/>
          <w:szCs w:val="24"/>
          <w:lang w:val="en-US"/>
        </w:rPr>
      </w:pPr>
    </w:p>
    <w:p w14:paraId="58713120" w14:textId="07C48050" w:rsidR="003417EB" w:rsidRPr="003417EB" w:rsidRDefault="00E32708" w:rsidP="003417EB">
      <w:pPr>
        <w:spacing w:after="0" w:line="360" w:lineRule="auto"/>
        <w:jc w:val="both"/>
        <w:rPr>
          <w:rFonts w:asciiTheme="majorBidi" w:eastAsia="Times New Roman" w:hAnsiTheme="majorBidi" w:cstheme="majorBidi"/>
          <w:color w:val="26282A"/>
          <w:sz w:val="24"/>
          <w:szCs w:val="24"/>
          <w:lang w:val="en-US"/>
        </w:rPr>
      </w:pPr>
      <w:bookmarkStart w:id="0" w:name="_GoBack"/>
      <w:bookmarkEnd w:id="0"/>
      <w:r w:rsidRPr="003417EB">
        <w:rPr>
          <w:rFonts w:asciiTheme="majorBidi" w:eastAsia="Times New Roman" w:hAnsiTheme="majorBidi" w:cstheme="majorBidi"/>
          <w:b/>
          <w:bCs/>
          <w:color w:val="26282A"/>
          <w:sz w:val="24"/>
          <w:szCs w:val="24"/>
          <w:lang w:val="en-US"/>
        </w:rPr>
        <w:lastRenderedPageBreak/>
        <w:t>Biography</w:t>
      </w:r>
      <w:r w:rsidRPr="003417EB">
        <w:rPr>
          <w:rFonts w:asciiTheme="majorBidi" w:eastAsia="Times New Roman" w:hAnsiTheme="majorBidi" w:cstheme="majorBidi"/>
          <w:color w:val="26282A"/>
          <w:sz w:val="24"/>
          <w:szCs w:val="24"/>
          <w:lang w:val="en-US"/>
        </w:rPr>
        <w:t>:</w:t>
      </w:r>
      <w:r w:rsidR="003417EB" w:rsidRPr="003417EB">
        <w:rPr>
          <w:rFonts w:asciiTheme="majorBidi" w:eastAsia="Times New Roman" w:hAnsiTheme="majorBidi" w:cstheme="majorBidi"/>
          <w:color w:val="26282A"/>
          <w:sz w:val="24"/>
          <w:szCs w:val="24"/>
          <w:lang w:val="en-US"/>
        </w:rPr>
        <w:t xml:space="preserve"> Mojgan Gharipour received her Ph.D. in Molecular Epidemiology and Masters of Clinical Biochemistry from Isfahan University of Medical Sciences, IRAN. She is head of the division of Genetic Studies and associate editor of ARYA Atherosclerosis Journal (ISI, PubMed indexed).  Her areas of research include Metabolic Syndrome and Molecular Epidemiology and Cardiovascular Disease. She is nominated as first place winner of oral presentation in Dubai, EUA and awarded several times as young Investigator and grant winner in Germany, Italy, UK, Norway, and Dubai. She has selected as a brilliant researcher in Isfahan Cardiovascular Research Institute, Isfahan University of Medical Sciences and Provincial Governor and she received Outstanding Woman Award by Festival of Women Commission. She started her studies on personalized medicine from 2014. </w:t>
      </w:r>
    </w:p>
    <w:p w14:paraId="0976711E" w14:textId="77777777" w:rsidR="003417EB" w:rsidRPr="003417EB" w:rsidRDefault="003417EB" w:rsidP="003417EB">
      <w:pPr>
        <w:spacing w:after="0" w:line="360" w:lineRule="auto"/>
        <w:jc w:val="both"/>
        <w:rPr>
          <w:rFonts w:asciiTheme="majorBidi" w:eastAsia="Times New Roman" w:hAnsiTheme="majorBidi" w:cstheme="majorBidi"/>
          <w:color w:val="26282A"/>
          <w:sz w:val="24"/>
          <w:szCs w:val="24"/>
          <w:lang w:val="en-US"/>
        </w:rPr>
      </w:pPr>
      <w:r w:rsidRPr="003417EB">
        <w:rPr>
          <w:rFonts w:asciiTheme="majorBidi" w:eastAsia="Times New Roman" w:hAnsiTheme="majorBidi" w:cstheme="majorBidi"/>
          <w:color w:val="26282A"/>
          <w:sz w:val="24"/>
          <w:szCs w:val="24"/>
          <w:lang w:val="en-US"/>
        </w:rPr>
        <w:t> </w:t>
      </w:r>
    </w:p>
    <w:p w14:paraId="631E7DC5" w14:textId="77777777" w:rsidR="0042617E" w:rsidRPr="003417EB" w:rsidRDefault="0042617E" w:rsidP="003417EB">
      <w:pPr>
        <w:spacing w:line="360" w:lineRule="auto"/>
        <w:jc w:val="both"/>
        <w:rPr>
          <w:rFonts w:asciiTheme="majorBidi" w:hAnsiTheme="majorBidi" w:cstheme="majorBidi"/>
          <w:sz w:val="24"/>
          <w:szCs w:val="24"/>
        </w:rPr>
      </w:pPr>
    </w:p>
    <w:sectPr w:rsidR="0042617E" w:rsidRPr="003417EB" w:rsidSect="00954D0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97288A"/>
    <w:multiLevelType w:val="hybridMultilevel"/>
    <w:tmpl w:val="EE84C518"/>
    <w:lvl w:ilvl="0" w:tplc="CD5CFF18">
      <w:start w:val="1"/>
      <w:numFmt w:val="decimal"/>
      <w:lvlText w:val="%1."/>
      <w:lvlJc w:val="left"/>
      <w:pPr>
        <w:ind w:left="502" w:hanging="360"/>
      </w:pPr>
    </w:lvl>
    <w:lvl w:ilvl="1" w:tplc="FFA4D852" w:tentative="1">
      <w:start w:val="1"/>
      <w:numFmt w:val="lowerLetter"/>
      <w:lvlText w:val="%2."/>
      <w:lvlJc w:val="left"/>
      <w:pPr>
        <w:ind w:left="1440" w:hanging="360"/>
      </w:pPr>
    </w:lvl>
    <w:lvl w:ilvl="2" w:tplc="4A3C6268" w:tentative="1">
      <w:start w:val="1"/>
      <w:numFmt w:val="lowerRoman"/>
      <w:lvlText w:val="%3."/>
      <w:lvlJc w:val="right"/>
      <w:pPr>
        <w:ind w:left="2160" w:hanging="180"/>
      </w:pPr>
    </w:lvl>
    <w:lvl w:ilvl="3" w:tplc="84AC5054" w:tentative="1">
      <w:start w:val="1"/>
      <w:numFmt w:val="decimal"/>
      <w:lvlText w:val="%4."/>
      <w:lvlJc w:val="left"/>
      <w:pPr>
        <w:ind w:left="2880" w:hanging="360"/>
      </w:pPr>
    </w:lvl>
    <w:lvl w:ilvl="4" w:tplc="24762CAE" w:tentative="1">
      <w:start w:val="1"/>
      <w:numFmt w:val="lowerLetter"/>
      <w:lvlText w:val="%5."/>
      <w:lvlJc w:val="left"/>
      <w:pPr>
        <w:ind w:left="3600" w:hanging="360"/>
      </w:pPr>
    </w:lvl>
    <w:lvl w:ilvl="5" w:tplc="712AC8EA" w:tentative="1">
      <w:start w:val="1"/>
      <w:numFmt w:val="lowerRoman"/>
      <w:lvlText w:val="%6."/>
      <w:lvlJc w:val="right"/>
      <w:pPr>
        <w:ind w:left="4320" w:hanging="180"/>
      </w:pPr>
    </w:lvl>
    <w:lvl w:ilvl="6" w:tplc="5B30CAAA" w:tentative="1">
      <w:start w:val="1"/>
      <w:numFmt w:val="decimal"/>
      <w:lvlText w:val="%7."/>
      <w:lvlJc w:val="left"/>
      <w:pPr>
        <w:ind w:left="5040" w:hanging="360"/>
      </w:pPr>
    </w:lvl>
    <w:lvl w:ilvl="7" w:tplc="6C160FD6" w:tentative="1">
      <w:start w:val="1"/>
      <w:numFmt w:val="lowerLetter"/>
      <w:lvlText w:val="%8."/>
      <w:lvlJc w:val="left"/>
      <w:pPr>
        <w:ind w:left="5760" w:hanging="360"/>
      </w:pPr>
    </w:lvl>
    <w:lvl w:ilvl="8" w:tplc="FE46805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9CE"/>
    <w:rsid w:val="003417EB"/>
    <w:rsid w:val="0042617E"/>
    <w:rsid w:val="004C59CE"/>
    <w:rsid w:val="008D5839"/>
    <w:rsid w:val="0094327F"/>
    <w:rsid w:val="00954D00"/>
    <w:rsid w:val="00A450E6"/>
    <w:rsid w:val="00A911B7"/>
    <w:rsid w:val="00D412BB"/>
    <w:rsid w:val="00E32708"/>
    <w:rsid w:val="00E8104F"/>
    <w:rsid w:val="00F041B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A27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9CE"/>
    <w:pPr>
      <w:spacing w:after="200" w:line="276" w:lineRule="auto"/>
    </w:pPr>
    <w:rPr>
      <w:rFonts w:ascii="Calibri" w:eastAsia="Calibri" w:hAnsi="Calibri" w:cs="Arial"/>
      <w:sz w:val="22"/>
      <w:szCs w:val="2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rsid w:val="004C59CE"/>
    <w:pPr>
      <w:ind w:left="720"/>
      <w:contextualSpacing/>
    </w:pPr>
  </w:style>
  <w:style w:type="character" w:customStyle="1" w:styleId="apple-converted-space">
    <w:name w:val="apple-converted-space"/>
    <w:basedOn w:val="DefaultParagraphFont"/>
    <w:rsid w:val="00341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4186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ICRI</Company>
  <LinksUpToDate>false</LinksUpToDate>
  <CharactersWithSpaces>3848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Mojgan Gharipour</dc:creator>
  <cp:keywords/>
  <dc:description/>
  <cp:lastModifiedBy>Gharipor</cp:lastModifiedBy>
  <cp:revision>2</cp:revision>
  <dcterms:created xsi:type="dcterms:W3CDTF">2018-04-07T04:23:00Z</dcterms:created>
  <dcterms:modified xsi:type="dcterms:W3CDTF">2018-04-07T04:23:00Z</dcterms:modified>
</cp:coreProperties>
</file>