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D11" w:rsidRPr="009F24A3" w:rsidRDefault="009E4D11" w:rsidP="009E4D11">
      <w:pPr>
        <w:ind w:left="0"/>
        <w:rPr>
          <w:rFonts w:ascii="Arial" w:hAnsi="Arial" w:cs="Arial"/>
          <w:color w:val="000000"/>
          <w:sz w:val="28"/>
          <w:szCs w:val="28"/>
          <w:shd w:val="clear" w:color="auto" w:fill="FFFFFF"/>
        </w:rPr>
      </w:pPr>
      <w:r w:rsidRPr="009F24A3">
        <w:rPr>
          <w:rFonts w:ascii="Arial" w:hAnsi="Arial" w:cs="Arial"/>
          <w:color w:val="000000"/>
          <w:sz w:val="28"/>
          <w:szCs w:val="28"/>
          <w:shd w:val="clear" w:color="auto" w:fill="FFFFFF"/>
        </w:rPr>
        <w:t>Vitamin D status and the risk of myocardial infarction, heart failure and stroke events after cardiac bypass graft surgery in India.</w:t>
      </w:r>
    </w:p>
    <w:p w:rsidR="009E4D11" w:rsidRDefault="009E4D11" w:rsidP="009E4D11">
      <w:pPr>
        <w:rPr>
          <w:rFonts w:ascii="Arial" w:hAnsi="Arial" w:cs="Arial"/>
          <w:color w:val="000000"/>
          <w:sz w:val="16"/>
          <w:szCs w:val="16"/>
          <w:shd w:val="clear" w:color="auto" w:fill="FFFFFF"/>
        </w:rPr>
      </w:pPr>
    </w:p>
    <w:p w:rsidR="009E4D11" w:rsidRDefault="009E4D11" w:rsidP="009E4D11">
      <w:pPr>
        <w:ind w:left="0"/>
        <w:rPr>
          <w:rFonts w:ascii="Arial" w:hAnsi="Arial" w:cs="Arial"/>
          <w:color w:val="000000"/>
          <w:sz w:val="18"/>
          <w:szCs w:val="18"/>
          <w:shd w:val="clear" w:color="auto" w:fill="FFFFFF"/>
        </w:rPr>
      </w:pPr>
      <w:proofErr w:type="gramStart"/>
      <w:r>
        <w:rPr>
          <w:rFonts w:ascii="Arial" w:hAnsi="Arial" w:cs="Arial"/>
          <w:color w:val="000000"/>
          <w:sz w:val="16"/>
          <w:szCs w:val="16"/>
          <w:shd w:val="clear" w:color="auto" w:fill="FFFFFF"/>
        </w:rPr>
        <w:t>NARESH.</w:t>
      </w:r>
      <w:proofErr w:type="gramEnd"/>
      <w:r>
        <w:rPr>
          <w:rFonts w:ascii="Arial" w:hAnsi="Arial" w:cs="Arial"/>
          <w:color w:val="000000"/>
          <w:sz w:val="16"/>
          <w:szCs w:val="16"/>
          <w:shd w:val="clear" w:color="auto" w:fill="FFFFFF"/>
        </w:rPr>
        <w:t xml:space="preserve"> </w:t>
      </w:r>
      <w:proofErr w:type="gramStart"/>
      <w:r>
        <w:rPr>
          <w:rFonts w:ascii="Arial" w:hAnsi="Arial" w:cs="Arial"/>
          <w:color w:val="000000"/>
          <w:sz w:val="16"/>
          <w:szCs w:val="16"/>
          <w:shd w:val="clear" w:color="auto" w:fill="FFFFFF"/>
        </w:rPr>
        <w:t>Sen</w:t>
      </w:r>
      <w:r>
        <w:rPr>
          <w:rFonts w:ascii="Arial" w:hAnsi="Arial" w:cs="Arial"/>
          <w:color w:val="000000"/>
          <w:sz w:val="12"/>
          <w:szCs w:val="12"/>
          <w:shd w:val="clear" w:color="auto" w:fill="FFFFFF"/>
          <w:vertAlign w:val="superscript"/>
        </w:rPr>
        <w:t>1</w:t>
      </w:r>
      <w:r>
        <w:rPr>
          <w:rFonts w:ascii="Arial" w:hAnsi="Arial" w:cs="Arial"/>
          <w:color w:val="000000"/>
          <w:sz w:val="16"/>
          <w:szCs w:val="16"/>
          <w:shd w:val="clear" w:color="auto" w:fill="FFFFFF"/>
        </w:rPr>
        <w:t>, SONAL.</w:t>
      </w:r>
      <w:proofErr w:type="gramEnd"/>
      <w:r>
        <w:rPr>
          <w:rFonts w:ascii="Arial" w:hAnsi="Arial" w:cs="Arial"/>
          <w:color w:val="000000"/>
          <w:sz w:val="16"/>
          <w:szCs w:val="16"/>
          <w:shd w:val="clear" w:color="auto" w:fill="FFFFFF"/>
        </w:rPr>
        <w:t xml:space="preserve"> Tanwar</w:t>
      </w:r>
      <w:r>
        <w:rPr>
          <w:rFonts w:ascii="Arial" w:hAnsi="Arial" w:cs="Arial"/>
          <w:color w:val="000000"/>
          <w:sz w:val="12"/>
          <w:szCs w:val="12"/>
          <w:shd w:val="clear" w:color="auto" w:fill="FFFFFF"/>
          <w:vertAlign w:val="superscript"/>
        </w:rPr>
        <w:t>2</w:t>
      </w:r>
      <w:r>
        <w:rPr>
          <w:rFonts w:ascii="Arial" w:hAnsi="Arial" w:cs="Arial"/>
          <w:color w:val="000000"/>
          <w:sz w:val="16"/>
          <w:szCs w:val="16"/>
          <w:shd w:val="clear" w:color="auto" w:fill="FFFFFF"/>
        </w:rPr>
        <w:t>, S. Jagdish</w:t>
      </w:r>
      <w:r>
        <w:rPr>
          <w:rFonts w:ascii="Arial" w:hAnsi="Arial" w:cs="Arial"/>
          <w:color w:val="000000"/>
          <w:sz w:val="12"/>
          <w:szCs w:val="12"/>
          <w:shd w:val="clear" w:color="auto" w:fill="FFFFFF"/>
          <w:vertAlign w:val="superscript"/>
        </w:rPr>
        <w:t>3</w:t>
      </w:r>
      <w:r>
        <w:rPr>
          <w:rStyle w:val="apple-converted-space"/>
          <w:rFonts w:ascii="Arial" w:hAnsi="Arial" w:cs="Arial"/>
          <w:color w:val="000000"/>
          <w:sz w:val="16"/>
          <w:szCs w:val="16"/>
          <w:shd w:val="clear" w:color="auto" w:fill="FFFFFF"/>
        </w:rPr>
        <w:t> </w:t>
      </w:r>
      <w:r>
        <w:rPr>
          <w:rFonts w:ascii="Arial" w:hAnsi="Arial" w:cs="Arial"/>
          <w:color w:val="000000"/>
          <w:sz w:val="16"/>
          <w:szCs w:val="16"/>
          <w:shd w:val="clear" w:color="auto" w:fill="FFFFFF"/>
        </w:rPr>
        <w:t xml:space="preserve">- (1) NARAYANA HRUDAYALAYA INSTITUTE OF MEDICAL SCIENCE, Bangalore, India (2) Rajasthan University of Health Sciences, Cardiology, </w:t>
      </w:r>
      <w:proofErr w:type="spellStart"/>
      <w:r>
        <w:rPr>
          <w:rFonts w:ascii="Arial" w:hAnsi="Arial" w:cs="Arial"/>
          <w:color w:val="000000"/>
          <w:sz w:val="16"/>
          <w:szCs w:val="16"/>
          <w:shd w:val="clear" w:color="auto" w:fill="FFFFFF"/>
        </w:rPr>
        <w:t>Jaipur</w:t>
      </w:r>
      <w:proofErr w:type="spellEnd"/>
      <w:r>
        <w:rPr>
          <w:rFonts w:ascii="Arial" w:hAnsi="Arial" w:cs="Arial"/>
          <w:color w:val="000000"/>
          <w:sz w:val="16"/>
          <w:szCs w:val="16"/>
          <w:shd w:val="clear" w:color="auto" w:fill="FFFFFF"/>
        </w:rPr>
        <w:t xml:space="preserve">, India (3) Fortis Escorts Heart Institute, </w:t>
      </w:r>
      <w:proofErr w:type="spellStart"/>
      <w:r>
        <w:rPr>
          <w:rFonts w:ascii="Arial" w:hAnsi="Arial" w:cs="Arial"/>
          <w:color w:val="000000"/>
          <w:sz w:val="16"/>
          <w:szCs w:val="16"/>
          <w:shd w:val="clear" w:color="auto" w:fill="FFFFFF"/>
        </w:rPr>
        <w:t>Jaipur</w:t>
      </w:r>
      <w:proofErr w:type="spellEnd"/>
      <w:r>
        <w:rPr>
          <w:rFonts w:ascii="Arial" w:hAnsi="Arial" w:cs="Arial"/>
          <w:color w:val="000000"/>
          <w:sz w:val="16"/>
          <w:szCs w:val="16"/>
          <w:shd w:val="clear" w:color="auto" w:fill="FFFFFF"/>
        </w:rPr>
        <w:t>, India</w:t>
      </w:r>
    </w:p>
    <w:p w:rsidR="009E4D11" w:rsidRDefault="009E4D11" w:rsidP="009E4D11">
      <w:pPr>
        <w:rPr>
          <w:rFonts w:ascii="Arial" w:hAnsi="Arial" w:cs="Arial"/>
          <w:color w:val="000000"/>
          <w:sz w:val="18"/>
          <w:szCs w:val="18"/>
          <w:shd w:val="clear" w:color="auto" w:fill="FFFFFF"/>
        </w:rPr>
      </w:pPr>
    </w:p>
    <w:p w:rsidR="009E4D11" w:rsidRDefault="009E4D11" w:rsidP="009E4D11">
      <w:pPr>
        <w:spacing w:line="272" w:lineRule="atLeast"/>
        <w:ind w:left="0"/>
        <w:rPr>
          <w:rFonts w:ascii="Arial" w:eastAsia="Times New Roman" w:hAnsi="Arial" w:cs="Arial"/>
          <w:color w:val="000000"/>
          <w:sz w:val="20"/>
          <w:szCs w:val="20"/>
        </w:rPr>
      </w:pPr>
      <w:r w:rsidRPr="004663E2">
        <w:rPr>
          <w:rFonts w:ascii="Arial" w:eastAsia="Times New Roman" w:hAnsi="Arial" w:cs="Arial"/>
          <w:color w:val="000000"/>
          <w:sz w:val="20"/>
          <w:szCs w:val="20"/>
        </w:rPr>
        <w:t>Background - A significant proportion of cardiac surgical patients develop critical post-operative complications and association with vitamin D deficiency.</w:t>
      </w:r>
      <w:r w:rsidRPr="004663E2">
        <w:rPr>
          <w:rFonts w:ascii="Arial" w:eastAsia="Times New Roman" w:hAnsi="Arial" w:cs="Arial"/>
          <w:color w:val="000000"/>
          <w:sz w:val="20"/>
        </w:rPr>
        <w:t> </w:t>
      </w:r>
      <w:r w:rsidRPr="004663E2">
        <w:rPr>
          <w:rFonts w:ascii="Arial" w:eastAsia="Times New Roman" w:hAnsi="Arial" w:cs="Arial"/>
          <w:color w:val="000000"/>
          <w:sz w:val="20"/>
          <w:szCs w:val="20"/>
        </w:rPr>
        <w:br/>
      </w:r>
      <w:r w:rsidRPr="004663E2">
        <w:rPr>
          <w:rFonts w:ascii="Arial" w:eastAsia="Times New Roman" w:hAnsi="Arial" w:cs="Arial"/>
          <w:color w:val="000000"/>
          <w:sz w:val="20"/>
          <w:szCs w:val="20"/>
        </w:rPr>
        <w:br/>
        <w:t>Aims -We aimed to investigate the association of pre-operative 25-hydroxyvitamin D (25(OH)D) levels with the risk of myocardial infarction, heart failure and stroke  events (MHSE)after cardiac bypass graft surgery(CABG).</w:t>
      </w:r>
      <w:r w:rsidRPr="004663E2">
        <w:rPr>
          <w:rFonts w:ascii="Arial" w:eastAsia="Times New Roman" w:hAnsi="Arial" w:cs="Arial"/>
          <w:color w:val="000000"/>
          <w:sz w:val="20"/>
        </w:rPr>
        <w:t> </w:t>
      </w:r>
      <w:r w:rsidRPr="004663E2">
        <w:rPr>
          <w:rFonts w:ascii="Arial" w:eastAsia="Times New Roman" w:hAnsi="Arial" w:cs="Arial"/>
          <w:color w:val="000000"/>
          <w:sz w:val="20"/>
          <w:szCs w:val="20"/>
        </w:rPr>
        <w:br/>
      </w:r>
      <w:r w:rsidRPr="004663E2">
        <w:rPr>
          <w:rFonts w:ascii="Arial" w:eastAsia="Times New Roman" w:hAnsi="Arial" w:cs="Arial"/>
          <w:color w:val="000000"/>
          <w:sz w:val="20"/>
          <w:szCs w:val="20"/>
        </w:rPr>
        <w:br/>
        <w:t xml:space="preserve">Methods- From April 2013 to march 2015 </w:t>
      </w:r>
      <w:proofErr w:type="gramStart"/>
      <w:r w:rsidRPr="004663E2">
        <w:rPr>
          <w:rFonts w:ascii="Arial" w:eastAsia="Times New Roman" w:hAnsi="Arial" w:cs="Arial"/>
          <w:color w:val="000000"/>
          <w:sz w:val="20"/>
          <w:szCs w:val="20"/>
        </w:rPr>
        <w:t>( 2</w:t>
      </w:r>
      <w:proofErr w:type="gramEnd"/>
      <w:r w:rsidRPr="004663E2">
        <w:rPr>
          <w:rFonts w:ascii="Arial" w:eastAsia="Times New Roman" w:hAnsi="Arial" w:cs="Arial"/>
          <w:color w:val="000000"/>
          <w:sz w:val="20"/>
          <w:szCs w:val="20"/>
        </w:rPr>
        <w:t xml:space="preserve"> years cohort study), we measured circulating 25(OH)D in 3244 operated patients.</w:t>
      </w:r>
      <w:r w:rsidRPr="004663E2">
        <w:rPr>
          <w:rFonts w:ascii="Arial" w:eastAsia="Times New Roman" w:hAnsi="Arial" w:cs="Arial"/>
          <w:color w:val="000000"/>
          <w:sz w:val="20"/>
        </w:rPr>
        <w:t> </w:t>
      </w:r>
      <w:r w:rsidRPr="004663E2">
        <w:rPr>
          <w:rFonts w:ascii="Arial" w:eastAsia="Times New Roman" w:hAnsi="Arial" w:cs="Arial"/>
          <w:color w:val="000000"/>
          <w:sz w:val="20"/>
          <w:szCs w:val="20"/>
        </w:rPr>
        <w:br/>
      </w:r>
      <w:r w:rsidRPr="004663E2">
        <w:rPr>
          <w:rFonts w:ascii="Arial" w:eastAsia="Times New Roman" w:hAnsi="Arial" w:cs="Arial"/>
          <w:color w:val="000000"/>
          <w:sz w:val="20"/>
          <w:szCs w:val="20"/>
        </w:rPr>
        <w:br/>
        <w:t>Results -Study showed, 32.0% had deficient 25(OH</w:t>
      </w:r>
      <w:proofErr w:type="gramStart"/>
      <w:r w:rsidRPr="004663E2">
        <w:rPr>
          <w:rFonts w:ascii="Arial" w:eastAsia="Times New Roman" w:hAnsi="Arial" w:cs="Arial"/>
          <w:color w:val="000000"/>
          <w:sz w:val="20"/>
          <w:szCs w:val="20"/>
        </w:rPr>
        <w:t>)D</w:t>
      </w:r>
      <w:proofErr w:type="gramEnd"/>
      <w:r w:rsidRPr="004663E2">
        <w:rPr>
          <w:rFonts w:ascii="Arial" w:eastAsia="Times New Roman" w:hAnsi="Arial" w:cs="Arial"/>
          <w:color w:val="000000"/>
          <w:sz w:val="20"/>
          <w:szCs w:val="20"/>
        </w:rPr>
        <w:t xml:space="preserve"> values (&lt;25 </w:t>
      </w:r>
      <w:proofErr w:type="spellStart"/>
      <w:r w:rsidRPr="004663E2">
        <w:rPr>
          <w:rFonts w:ascii="Arial" w:eastAsia="Times New Roman" w:hAnsi="Arial" w:cs="Arial"/>
          <w:color w:val="000000"/>
          <w:sz w:val="20"/>
          <w:szCs w:val="20"/>
        </w:rPr>
        <w:t>nmol</w:t>
      </w:r>
      <w:proofErr w:type="spellEnd"/>
      <w:r w:rsidRPr="004663E2">
        <w:rPr>
          <w:rFonts w:ascii="Arial" w:eastAsia="Times New Roman" w:hAnsi="Arial" w:cs="Arial"/>
          <w:color w:val="000000"/>
          <w:sz w:val="20"/>
          <w:szCs w:val="20"/>
        </w:rPr>
        <w:t xml:space="preserve">/L) and additional 27.4% had insufficient values (26–50 </w:t>
      </w:r>
      <w:proofErr w:type="spellStart"/>
      <w:r w:rsidRPr="004663E2">
        <w:rPr>
          <w:rFonts w:ascii="Arial" w:eastAsia="Times New Roman" w:hAnsi="Arial" w:cs="Arial"/>
          <w:color w:val="000000"/>
          <w:sz w:val="20"/>
          <w:szCs w:val="20"/>
        </w:rPr>
        <w:t>nmol</w:t>
      </w:r>
      <w:proofErr w:type="spellEnd"/>
      <w:r w:rsidRPr="004663E2">
        <w:rPr>
          <w:rFonts w:ascii="Arial" w:eastAsia="Times New Roman" w:hAnsi="Arial" w:cs="Arial"/>
          <w:color w:val="000000"/>
          <w:sz w:val="20"/>
          <w:szCs w:val="20"/>
        </w:rPr>
        <w:t xml:space="preserve">/L), 22 % had insufficient values (51–100 </w:t>
      </w:r>
      <w:proofErr w:type="spellStart"/>
      <w:r w:rsidRPr="004663E2">
        <w:rPr>
          <w:rFonts w:ascii="Arial" w:eastAsia="Times New Roman" w:hAnsi="Arial" w:cs="Arial"/>
          <w:color w:val="000000"/>
          <w:sz w:val="20"/>
          <w:szCs w:val="20"/>
        </w:rPr>
        <w:t>nmol</w:t>
      </w:r>
      <w:proofErr w:type="spellEnd"/>
      <w:r w:rsidRPr="004663E2">
        <w:rPr>
          <w:rFonts w:ascii="Arial" w:eastAsia="Times New Roman" w:hAnsi="Arial" w:cs="Arial"/>
          <w:color w:val="000000"/>
          <w:sz w:val="20"/>
          <w:szCs w:val="20"/>
        </w:rPr>
        <w:t xml:space="preserve">/L)whereas only 18.6% had values &gt;100 </w:t>
      </w:r>
      <w:proofErr w:type="spellStart"/>
      <w:r w:rsidRPr="004663E2">
        <w:rPr>
          <w:rFonts w:ascii="Arial" w:eastAsia="Times New Roman" w:hAnsi="Arial" w:cs="Arial"/>
          <w:color w:val="000000"/>
          <w:sz w:val="20"/>
          <w:szCs w:val="20"/>
        </w:rPr>
        <w:t>nmol</w:t>
      </w:r>
      <w:proofErr w:type="spellEnd"/>
      <w:r w:rsidRPr="004663E2">
        <w:rPr>
          <w:rFonts w:ascii="Arial" w:eastAsia="Times New Roman" w:hAnsi="Arial" w:cs="Arial"/>
          <w:color w:val="000000"/>
          <w:sz w:val="20"/>
          <w:szCs w:val="20"/>
        </w:rPr>
        <w:t xml:space="preserve">/L. The incidence of Myocardial Infarction , Heart failure (high BNP value) &amp; stroke were 7.9 %, 12.3% &amp; 8.2% observed with significant concerned p value (p&lt;0.05, p&lt;0.04 &amp;p&lt;0.05). In multivariable-adjusted logistic regression models, the odds ratio of MHSE at deficient, inadequate, and high 25(OH)D levels was 3.52 [95% confidence interval (CI): 1.27–4.26], 2.11 (95% CI: 1.22–3.13) and 3.14 (95% CI: 1.44–5.06), respectively, compared with 25(OH)D levels of 51–100 </w:t>
      </w:r>
      <w:proofErr w:type="spellStart"/>
      <w:r w:rsidRPr="004663E2">
        <w:rPr>
          <w:rFonts w:ascii="Arial" w:eastAsia="Times New Roman" w:hAnsi="Arial" w:cs="Arial"/>
          <w:color w:val="000000"/>
          <w:sz w:val="20"/>
          <w:szCs w:val="20"/>
        </w:rPr>
        <w:t>nmol</w:t>
      </w:r>
      <w:proofErr w:type="spellEnd"/>
      <w:r w:rsidRPr="004663E2">
        <w:rPr>
          <w:rFonts w:ascii="Arial" w:eastAsia="Times New Roman" w:hAnsi="Arial" w:cs="Arial"/>
          <w:color w:val="000000"/>
          <w:sz w:val="20"/>
          <w:szCs w:val="20"/>
        </w:rPr>
        <w:t xml:space="preserve">/L. Multivariable-adjusted 6- and 12-month mortality were higher in patients with deficient 25(OH)D levels compared with patients with 25(OH)D levels of 75–100 </w:t>
      </w:r>
      <w:proofErr w:type="spellStart"/>
      <w:r w:rsidRPr="004663E2">
        <w:rPr>
          <w:rFonts w:ascii="Arial" w:eastAsia="Times New Roman" w:hAnsi="Arial" w:cs="Arial"/>
          <w:color w:val="000000"/>
          <w:sz w:val="20"/>
          <w:szCs w:val="20"/>
        </w:rPr>
        <w:t>nmol</w:t>
      </w:r>
      <w:proofErr w:type="spellEnd"/>
      <w:r w:rsidRPr="004663E2">
        <w:rPr>
          <w:rFonts w:ascii="Arial" w:eastAsia="Times New Roman" w:hAnsi="Arial" w:cs="Arial"/>
          <w:color w:val="000000"/>
          <w:sz w:val="20"/>
          <w:szCs w:val="20"/>
        </w:rPr>
        <w:t>/L.</w:t>
      </w:r>
      <w:r w:rsidRPr="004663E2">
        <w:rPr>
          <w:rFonts w:ascii="Arial" w:eastAsia="Times New Roman" w:hAnsi="Arial" w:cs="Arial"/>
          <w:color w:val="000000"/>
          <w:sz w:val="20"/>
        </w:rPr>
        <w:t> </w:t>
      </w:r>
      <w:r w:rsidRPr="004663E2">
        <w:rPr>
          <w:rFonts w:ascii="Arial" w:eastAsia="Times New Roman" w:hAnsi="Arial" w:cs="Arial"/>
          <w:color w:val="000000"/>
          <w:sz w:val="20"/>
          <w:szCs w:val="20"/>
        </w:rPr>
        <w:br/>
      </w:r>
      <w:r w:rsidRPr="004663E2">
        <w:rPr>
          <w:rFonts w:ascii="Arial" w:eastAsia="Times New Roman" w:hAnsi="Arial" w:cs="Arial"/>
          <w:color w:val="000000"/>
          <w:sz w:val="20"/>
          <w:szCs w:val="20"/>
        </w:rPr>
        <w:br/>
        <w:t>Conclusion Deficient 25(OH)D levels are prevalent in CABG patients in India and are independently associated with the risk of heart failure and myocardial infarction and stroke events. Further research should clarify the potential of vitamin D supplements in reducing cardiovascular risk in vitamin D-deficient patients.</w:t>
      </w:r>
    </w:p>
    <w:p w:rsidR="00110584" w:rsidRDefault="009E4D11"/>
    <w:sectPr w:rsidR="00110584" w:rsidSect="000C42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E4D11"/>
    <w:rsid w:val="00016396"/>
    <w:rsid w:val="000C423E"/>
    <w:rsid w:val="001346AF"/>
    <w:rsid w:val="003C69A6"/>
    <w:rsid w:val="004A02E4"/>
    <w:rsid w:val="0056396F"/>
    <w:rsid w:val="005B0429"/>
    <w:rsid w:val="008B1EFC"/>
    <w:rsid w:val="009E4D11"/>
    <w:rsid w:val="00C330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D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E4D1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1750</Characters>
  <Application>Microsoft Office Word</Application>
  <DocSecurity>0</DocSecurity>
  <Lines>14</Lines>
  <Paragraphs>4</Paragraphs>
  <ScaleCrop>false</ScaleCrop>
  <Company/>
  <LinksUpToDate>false</LinksUpToDate>
  <CharactersWithSpaces>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2016-07-09T13:40:00Z</dcterms:created>
  <dcterms:modified xsi:type="dcterms:W3CDTF">2016-07-09T13:40:00Z</dcterms:modified>
</cp:coreProperties>
</file>